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C/16942/2018 vom 17. Januar 2019</w:t>
      </w:r>
    </w:p>
    <w:p>
      <w:r>
        <w:t>GE Cour de justice, 2019-01-17, FR</w:t>
      </w:r>
    </w:p>
    <w:p>
      <w:r>
        <w:rPr>
          <w:b/>
        </w:rPr>
        <w:t xml:space="preserve">Quelle: </w:t>
      </w:r>
      <w:r>
        <w:t>https://mcp.opencaselaw.ch/entscheid/ge_gerichte_C_16942_2018</w:t>
      </w:r>
    </w:p>
    <w:p>
      <w:r>
        <w:t>FR: GE_GERICHTE C/16942/2018 du 17 janvier 2019</w:t>
      </w:r>
    </w:p>
    <w:p>
      <w:r>
        <w:t>IT: GE_GERICHTE C/16942/2018 del 17 gennaio 2019</w:t>
      </w:r>
    </w:p>
    <w:p>
      <w:pPr>
        <w:pStyle w:val="Heading2"/>
      </w:pPr>
      <w:r>
        <w:t>Erwägungen</w:t>
      </w:r>
    </w:p>
    <w:p>
      <w:r>
        <w:rPr>
          <w:b/>
        </w:rPr>
        <w:t>E. 1</w:t>
      </w:r>
    </w:p>
    <w:p>
      <w:r>
        <w:t>La Cour est saisie d’un recours dirigé contre une décision rendue par la Chambre des relations collectives de travail concernant une violation de la convention collective de travail du second œuvre romand (ci-après : CCT-SOR). Elle examine d’office si les conditions de recevabilité sont remplies (art. 60 CPC).![endif]&gt;![if&gt;</w:t>
      </w:r>
    </w:p>
    <w:p>
      <w:r>
        <w:rPr>
          <w:b/>
        </w:rPr>
        <w:t>E. 1.1</w:t>
      </w:r>
    </w:p>
    <w:p>
      <w:r>
        <w:t>La CCT-SOR prévoit à son art. 51 al. 2 que les décisions de la B______ peuvent faire l’objet d’un recours dans les trente jours auprès de la Chambre des relations collectives de travail (CRCT) dans le Canton de Genève. Selon la même disposition, la CRCT est saisie soit en tant qu’instance de conciliation, soit en tant qu’instance de jugement, soit en tant qu’instance d’arbitrage, en application des art. 8, 9 et 10 de la loi concernant la Chambre des relations collectives de travail. La CRCT est quant à elle définie dans le cadre de la loi concernant la Chambre des relations collectives de travail (LCRCT). Cette loi institue une Chambre des relations collectives de travail à Genève avec notamment les compétences de prévenir et concilier les différends d’ordre collectif concernant les conditions de travail et de trancher les différends collectifs comme tribunal arbitral public (art. 1, al. 1, let. a et e LCRCT). L’art.  10  LCRCT prévoit quant à lui que la Chambre peut statuer comme tribunal arbitral public sur tout litige qui lui est soumis d’entente entre les parties. L’art. 7  du Règlement d’application de la loi concernant la Chambre des relations collectives de travail (RCRCT) dispose quant à lui que les parties aux conventions collectives et les organisations professionnelles ayant qualité pour agir selon le droit fédéral sont notamment considérées comme parties ayant la qualité pour requérir la réunion de la Chambre des relations collectives de travail. L’art.  10  RCRCT dispose que les associations d’employeurs et de salariés et l’employeur qui a un différend d’ordre collectif avec ses salariés sont notamment considérés comme parties ayant qualité pour requérir la réunion de la Chambre dans le cadre d’une procédure d’arbitrage au sens de l’art. 10 LCRCT. En l’absence d’un compromis écrit, l’art. 11 al. 2 RCRCT dispose que les parties peuvent déclarer conjointement et oralement, lors d’une audience de la Chambre fonctionnant en qualité de Chambre de conciliation, qu’elles se soumettent à son arbitrage, cette déclaration étant portée au procès-verbal. L’art. 15 RCRCT prévoit que la sentence arbitrale rendue par la CRCT est minutée comme un jugement et est assimilée, pour son exécution, à un jugement définitif. Ni la LCRCT ni le RCRCT ne prévoient d’instance de recours cantonale contre une décision prise par la Chambre des relations collectives de travail en tant que tribunal arbitral instaurée par la CCT-SOR. Cette dernière ne prévoit pas non plus un tel recours. Dans un arrêt 4A_53/2016 du 13 juillet 2016, la première Cour de droit civil du Tribunal fédéral a considéré que la CRCT est une instance publique cantonale lorsqu’elle agit en qualité de tribunal arbitral public et que sa composition et la détermination de son siège étant soustraites au choix des parties, elle ne peut pas être considérée comme un tribunal arbitral au sens des art. 353 et ss. CPC, avec la conséquence qu’un recours direct au Tribunal fédéral sur la base de l’art.  77  al.  1  LTF est dès lors exclu et que la CRCT statue ainsi dans ces situations en tant qu’autorité judiciaire cantonale de première instance et que sa décision, comme jugement étatique, n’est pas susceptible d’être attaquée directement devant le Tribunal fédéral. En effet, le recours en matière civile est ouvert contre une décision cantonale, pour autant que cette décision ait été rendue par un tribunal supérieur du Canton, lequel, sauf exception n’entrant pas en ligne de compte en l’espèce, aura statué lui-même sur recours, au sens de l’art. 75  al.  1  et 2 LTF. Le Tribunal fédéral a ainsi considéré qu’en vertu du droit fédéral, une voie de recours cantonale doit être ouverte contre une décision judiciaire de première instance de la CRCT, de sorte qu’à Genève, la Cour de justice est compétente pour connaître d’un tel recours, en sa qualité d’autorité judiciaire supérieure du Canton (ATF 139 III 252 consid. 1.6 p. 255 et ss.). A Genève, la Chambre des prud’hommes de la Cour civile est compétente pour les appels et les recours dirigés contre les jugements du Tribunal des prud’hommes (art. 124 LOJ). La Chambre de céans, second degré de juridiction civile à Genève pour un litige ayant trait au droit du travail, est dès lors compétente pour connaître de la présente cause ( CAPH/204/2017 du 12  décembre  2017), ce qui n’est au demeurant pas contesté par les parties.</w:t>
      </w:r>
    </w:p>
    <w:p>
      <w:r>
        <w:rPr>
          <w:b/>
        </w:rPr>
        <w:t>E. 1.2</w:t>
      </w:r>
    </w:p>
    <w:p>
      <w:r>
        <w:t>Le Code de procédure civile est applicable devant les juridictions cantonales aux affaires civiles contentieuses (art. 1 CPC). L’appel est recevable contre les décisions finales et les décisions incidentes de première instance si la valeur litigieuse au dernier état des conclusions est de 10'000 fr. au moins dans les affaires patrimoniales (art. 308 CPC). Le recours est quant à lui recevable contre les décisions finales, incidentes et provisionnelles de première instance qui ne peuvent faire l’objet d’un appel. Le recours doit être formé par écrit et lettre motivée et introduit auprès de l’instance de recours dans les trente jours à compter de la notification de la décision motivée. La décision attaquée doit être jointe au dossier, pour autant qu’elle soit en main du recourant. En l’espèce, la voie de l’appel n’est pas ouverte en raison de la valeur litigieuse inférieure à 10'000 fr. et le recours dont est saisi la Cour a été interjeté en temps utile et dans les formes requises par la loi. Il est donc recevable à la forme.</w:t>
      </w:r>
    </w:p>
    <w:p>
      <w:r>
        <w:rPr>
          <w:b/>
        </w:rPr>
        <w:t>E. 2</w:t>
      </w:r>
    </w:p>
    <w:p>
      <w:r>
        <w:t>La recourante fait grief à la CRCT d’avoir déclaré irrecevable son recours du 12  décembre 2017, au motif qu’il avait été interjeté par une succursale dépourvue de personnalité juridique, et donc, de capacité d’ester en justice au sens de l’art. 67 al. 1 CPC.![endif]&gt;![if&gt;</w:t>
      </w:r>
    </w:p>
    <w:p>
      <w:r>
        <w:rPr>
          <w:b/>
        </w:rPr>
        <w:t>E. 2.1</w:t>
      </w:r>
    </w:p>
    <w:p>
      <w:r>
        <w:t>Les personnes morales acquièrent la personnalité juridique en se faisant inscrire au Registre du commerce (art. 52 al. 1 CC). Sont dispensés de cette formalité les corporations et les établissements de droit public ainsi que les associations qui n’ont pas un but économique (art. 52 al. 2 CC). Dès qu’elles acquièrent la personnalité, les personnes morales jouissent des droits civils (art.  53  CC) et ont l’exercice des droits civils dès qu’elles possèdent les organes que la loi et les statuts exigent à cet effet (art. 54 CC). La volonté d’une personne morale s’exprime par ses organes (art. 55 CC). Ceux-ci obligent la personne morale par leurs actes juridiques et par tous autres faits (art. 55 al. 2 CC). La capacité d’être partie est quant à elle subordonnée soit à la jouissance des droits civils, soit à la qualité de partie en vertu du droit fédéral (art. 66 CPC). L’exercice des droits civils confère la capacité d’ester en justice (art. 67 al. 1 CPC). La jurisprudence considère que la succursale est dépourvue de la capacité d’être partie en justice, faute de jouir de la personnalité juridique (ATF 120 III 11 consid. 1a). En dépit de l’autonomie dont elle dispose, une succursale est dépourvue d’existence juridique et n’a pas la capacité d’ester en justice ni celle d’être poursuivie. La jurisprudence admet toutefois la possibilité pour la succursale d’intervenir dans une procédure, mais au nom de la société en vertu d’un pouvoir de représentation spéciale (ATF III 11 consid. 1a). En matière de poursuite, le Tribunal fédéral considère qu’il est possible de rectifier les qualités du débiteur lorsque le créancier a dirigé la poursuite contre une succursale, alors qu’il entendait s’en prendre à la maison-mère et que ce fait n’a pas induit les intéressés en erreur (SJ 1990 p. 106 et ATF 120 III 11 ).</w:t>
      </w:r>
    </w:p>
    <w:p>
      <w:r>
        <w:rPr>
          <w:b/>
        </w:rPr>
        <w:t>E. 2.2</w:t>
      </w:r>
    </w:p>
    <w:p>
      <w:r>
        <w:t>En l’espèce, la B______ des métiers du bâtiment second œuvre Genève, la Chambre des relations collectives de travail et la recourante ont tous fait référence à la société A______ SA ou à sa succursale genevoise, sans bien distinguer les deux ou en utilisant une dénomination pour l’autre. Notamment, c’est A______ SA qui interjette le recours dont est saisi la Cour de céans, mais elle le fait contre une décision rendue à l’encontre de sa succursale. La procuration jointe au recours, qui est d’ailleurs la même que celle qui avait été jointe au recours du 12 décembre 2017, est libellée au nom de A______ SA, succursale de Genève, mais est signée par A______ SA, ______ (VAUD). Dans sa réponse au recours, l’intimée invoque elle-même que A______ SA et que sa succursale de Genève ont toujours agi comme une seule et même entité juridique, ce qui permettrait selon elle d’admettre une délégation de pouvoir de représentation. Le contrôle effectué par la B______ des métiers du bâtiment second œuvre à Genève mentionnait quant à lui que l’employeur était A______ SA, succursale de Genève, alors même que le contrat de mission sur lequel la B______ s’est basée pour diligenter une procédure indique comme employeur A______ SA, ______ à Genève, sans mention spécifique d’une succursale. La B______ a adressé une demande de réajustement à la succursale genevoise, mais c’est le siège de la société à ______ (VAUD) qui a répondu, sans que cela ne cause aucune remarque de la part de la B______. Enfin, la décision de la B______ du 23  novembre 2017 était quant à elle adressée à la succursale genevoise de A______ SA, mais faisait référence à la réponse qu’elle avait reçue de la part du siège de la société.</w:t>
      </w:r>
    </w:p>
    <w:p>
      <w:r>
        <w:rPr>
          <w:b/>
        </w:rPr>
        <w:t>E. 2.3</w:t>
      </w:r>
    </w:p>
    <w:p>
      <w:r>
        <w:t>De son côté, la Chambre des relations collectives de travail a convoqué le même jour à la même audience, d’une part, la société sise à ______ (VAUD), et d’autre part, sa succursale genevoise, dans le cadre de deux causes différentes. Mais lors de l’audience qui s’est tenue le 24 avril 2018, la Chambre des relations collectives de travail a traité les deux causes ensemble et n’a tenu qu’un seul procès-verbal qui mentionne les numéros des deux causes, mais uniquement A______ SA en qualité de partie, sans aucune mention de sa succursale genevoise.</w:t>
      </w:r>
    </w:p>
    <w:p>
      <w:r>
        <w:rPr>
          <w:b/>
        </w:rPr>
        <w:t>E. 2.4</w:t>
      </w:r>
    </w:p>
    <w:p>
      <w:r>
        <w:t>Il apparaît par conséquent que les parties et la Chambre des relations collectives de travail ont toutes considéré que la société visée par la procédure était A______ SA et que la succursale genevoise n’était mentionnée dans l’un ou l’autre des documents que pour des raisons pratiques, puisque le contrat litigieux avait été établi à Genève pour un chantier genevois, sans qu’une conclusion ou erreur sur les parties puissent exister sur le fait que c’était bien A______ SA, société anonyme de droit suisse pourvue de la personnalité juridique et de la capacité d’être en justice et sujette d’obligations, qui était visée et sanctionnée, ce d’autant plus qu’une succursale n’a pas de personnalité juridique et n’aurait pu être poursuivie ni être attraite en procédure en tant que telle. Partant, la désignation de A______ SA, succursale de Genève, n’est qu’une désignation inexacte des parties, qu’il est possible de corriger dans le cadre de la procédure et qui ne devait pas emporter une décision d’irrecevabilité. La décision attaquée est ainsi annulée et la cause renvoyée à l’autorité précédente, pour rectification de la désignation des parties et instruction.</w:t>
      </w:r>
    </w:p>
    <w:p>
      <w:r>
        <w:rPr>
          <w:b/>
        </w:rPr>
        <w:t>E. 3</w:t>
      </w:r>
    </w:p>
    <w:p>
      <w:r>
        <w:t>Le recours est exempt de frais judiciaires compte tenu de la valeur litigieuse de 3'150 fr. (art. 114 let. c et 116 CPC, art. 19 al. 3 let. c LaCC) et ne donne pas lieu à l’allocation de dépens (art. 22 al. 2 LaCC).![endif]&gt;![if&gt; * * * * * PAR CES MOTIFS, La Chambre des prud'hommes, groupe CT : À la forme : Déclare recevable le recours interjeté par A______ SA contre la décision rendue le 22 juin 2018 par la Chambre des relations collectives de travail dans la cause C/16942/2018-CT. Au fond : Annule cette décision. Renvoie la cause à la Chambre des relations collectives de travail pour instruction au sens des considérants. Sur les frais : Dit que la procédure est gratuite. Dit qu'il n'est pas alloué de dépens. Siégeant : Monsieur Adriano D. GIANINAZZI, président; Messieurs Pierre-Alain L'HÔTE et Vincent CANONICA, juges employeurs; Messieurs Willy KNOPFEL et Roger  EMMENEGGER, juges salariés;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