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C/16891/2016 vom 24. März 2017</w:t>
      </w:r>
    </w:p>
    <w:p>
      <w:r>
        <w:t>GE Cour de justice, 2017-03-24, FR</w:t>
      </w:r>
    </w:p>
    <w:p>
      <w:r>
        <w:rPr>
          <w:b/>
        </w:rPr>
        <w:t xml:space="preserve">Quelle: </w:t>
      </w:r>
      <w:r>
        <w:t>https://mcp.opencaselaw.ch/entscheid/ge_gerichte_C_16891_2016</w:t>
      </w:r>
    </w:p>
    <w:p>
      <w:r>
        <w:t>FR: GE_GERICHTE C/16891/2016 du 24 mars 2017</w:t>
      </w:r>
    </w:p>
    <w:p>
      <w:r>
        <w:t>IT: GE_GERICHTE C/16891/2016 del 24 marzo 2017</w:t>
      </w:r>
    </w:p>
    <w:p>
      <w:pPr>
        <w:pStyle w:val="Heading2"/>
      </w:pPr>
      <w:r>
        <w:t>Regeste</w:t>
      </w:r>
    </w:p>
    <w:p>
      <w:r>
        <w:t>MAINLEVÉE DÉFINITIVE ; ATTESTATION; CHOSE JUGÉE | CPC.256; CPC.326.1; LP.80.1;</w:t>
      </w:r>
    </w:p>
    <w:p>
      <w:pPr>
        <w:pStyle w:val="Heading2"/>
      </w:pPr>
      <w:r>
        <w:t>Volltext</w:t>
      </w:r>
    </w:p>
    <w:p>
      <w:r>
        <w:t>Genève Cour de Justice (Cour civile) Chambre civile (Sommaires) 24.03.2017 C/16891/2016</w:t>
      </w:r>
    </w:p>
    <w:p>
      <w:r>
        <w:t>MAINLEVÉE DÉFINITIVE ; ATTESTATION; CHOSE JUGÉE | CPC.256; CPC.326.1; LP.80.1;</w:t>
      </w:r>
    </w:p>
    <w:p>
      <w:r>
        <w:t>C/16891/2016 ACJC/353/2017 du 24.03.2017 sur JTPI/125/2017 ( SML ) , CONFIRME Descripteurs : MAINLEVÉE DÉFINITIVE ; ATTESTATION; CHOSE JUGÉE Normes : CPC.256; CPC.326.1; LP.80.1; En fait En droit Par ces motifs RÉPUBLIQUE ET CANTON DE GENÈVE POUVOIR JUDICIAIRE C/16891/2016 ACJC/353/2017 ARRÊT DE LA COUR DE JUSTICE Chambre civile du VENDREDI 24 MARS 2017 Entre Madame A______ , domiciliée ______, recourante contre un jugement rendu par la 8ème Chambre du Tribunal de première instance de ce canton le 9 janvier 2017, comparant en personne, et B______ , sis______, intimé, comparant en personne. EN FAIT A. Par jugement JTPI/125/2017 du 9 janvier 2017, expédié pour notification aux parties le 13 janvier suivant, le Tribunal de première instance, statuant par voie de procédure sommaire, a prononcé la mainlevée définitive de l'opposition formée au commandement de payer, poursuite n° 1______ (ch. 1 du dispositif), a arrêté les frais judiciaires à 150 fr., compensés avec l'avance de frais fournie (ch. 2), les a mis à la charge de A______ et l'a en conséquence condamnée à les verser à B______ (ch. 3). B. a. Par acte expédié le 23 janvier 2017 au greffe de la Cour de justice, A______ a formé recours contre ce jugement, dont elle sollicite implicitement l'annulation. Elle a fait valoir que la motivation du jugement était lacunaire et que le titre produit par B______ ne constituait pas un titre de mainlevée définitive. A______ a produit deux pièces nouvelles (cote C). b. Par courrier du 17 février 2017, B______ s'en est rapporté à l'appréciation de la Cour. c. Les parties ont été avisées par plis du greffe du 21 février 2017 de ce que la cause était gardée à juger. C. Les faits pertinents suivants résultent de la procédure de première instance : a. Par jugement du 3 septembre 2015, le Tribunal d'arrondissement de Lausanne du Canton de Vaud a rejeté la requête de récusation formée par A______, constaté qu'il n'y avait plus matière à poursuite pénale contre A______ pour calomnie et diffamation, libéré A______ du chef d'accusation de tentative de contrainte et a mis les frais d'enquête, par 900 fr., à la charge de A______, le solde demeurant à la charge de l'Etat. Au pied de la décision figure l'indication selon laquelle un appel peut être formé auprès de la Cour d'appel pénale du Tribunal cantonal par une annonce écrite, non motivée, dans les dix jours dès la communication de la décision. Ce jugement a été notifié par courrier recommandé à A______. Il porte la mention selon laquelle il est définitif et exécutoire dès le 3 septembre 2015. b. Le 1 er juillet 2016, B______ a fait notifier à A______ un commandement de payer poursuite n° 1______ portant sur le montant de 900 fr. au titre de frais pénaux selon prononcé du 3 septembre 2015. Il a été formé opposition à ce commandement de payer, avec la mention qu'une plainte pénale avait été déposée le 30 juin 2016 auprès du Ministère public genevois. c. Par acte expédié au Tribunal le 30 août 2016, B______ a requis la mainlevée définitive de cette opposition. d. Le 10 décembre 2016, A______ a fait savoir au Tribunal qu'elle ne pourrait pas se rendre à l'audience agendée au 16 décembre 2016, pour des raisons médicales. A______ a versé à la procédure des pièces. e. Aucune des parties n'était présente ou représentée lors de l'audience du 16 décembre 2016, à l'issue de laquelle la cause a été gardée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recours (art. 120 al. 1 let. a LOJ). Déposé dans le délai et la forme prescrits, le recours est recevable. 1.2 A teneur de l'art. 253 CPC, lorsqu'une requête déposée en procédure sommaire ne paraît pas manifestement irrecevable ou infondée, le Tribunal donne à la partie adverse l'occasion de se déterminer oralement ou par écrit. 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En procédure sommaire, les pièces peuvent être produites jusqu'à la fin de l'administration des preuves, s'il est tenu une, voire plusieurs audiences (Bohnet, in Code de procédure civile commenté, Bohnet/Haldy/Jeandin/ Schweizer/Tappy [édit.], 2011, n° 9 ad art. 252 CPC et n° 4 ad art. 254 CPC). En l'espèce, la recourante a produit, avant l'audience appointée par le Tribunal, une détermination spontanée ainsi que des titres. Le premier juge n'a pas fait mention de cette écriture et des pièces produites. Compte tenu des principes rappelés ci-avant, lesdits titres sont recevables, bien qu'ils ne soient pas pertinents pour l'issue du litige, tel que cela sera développé ci-après. En revanche, la détermination écrite de la recourante est irrecevable, ainsi que les allégués de fait s'y rapportant, le Tribunal n'ayant pas ordonné une instruction écrite. Les pièces nouvellement versées à la procédure de recours par la recourante sont irrecevables (art. 326 al. 1 CPC), ainsi que les allégués de fait s'y rapportant.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3. La recourante reproche au Tribunal d'avoir prononcé la mainlevée définitive de l'opposition formée au commandement de payer. 3.1 Aux termes de l'art. 80 al. 1 LP, le créancier qui est au bénéfice d'un jugement exécutoire peut requérir du juge la mainlevée définitive de l'opposition. Le jugement doit être exécutoire,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Le juge de la mainlevée doit également examiner d'office l'existence d'un titre à la mainlevée définitive et son caractère exécutoire (ATF 139 III 444 consid. 4.1.1; Gillieron, Commentaire de la loi fédérale sur la poursuite pour dettes et la faillite 1999 p. 1220 n° 22).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3.2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 A l'instar de ce qui prévalait avant l'entrée en vigueur du CPC, l'attestation du caractère exécutoire du jugement, ne possède qu'une valeur déclarative et sert avant tout de moyen de preuve, l'attestation faisant présumer le caractère exécutoire de la sentence (Jeandin, in Code de procédure civile commenté, Bohnet/Haldy/Jeandin/Schweizer/Tappy [éd.], 2011, n° 9 ad art. 336 CPC; Staehelin, op. cit., n° 17 ad art. 80 LP). En matière de mainlevée, la production d'une telle attestation n'est que facultative, le caractère exécutoire de la décision pouvant être démontré d'une autre manière, par exemple lorsqu'il ressort des circonstances que le poursuivi n'a pas contesté le caractère exécutoire du jugement ou qu'il n'avait aucun motif de le contester ou encore que plusieurs années se sont écoulées depuis la communication de la décision (Staehelin, op. cit., n° 55 ad art. 80 LP). 3.3 Le juge doit ordonner la mainlevée définitive de l'opposition, à moins que l'opposant ne prouve par titre que la dette a été éteinte ou qu'il a obtenu un sursis, postérieurement au jugement, ou qu'il ne se prévale de la prescription (art. 81 al. 1 LP).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op. cit., n° 1 ad art. 81 LP). 3.4 Dans le présent cas, un jugement a été rendu le 3 septembre 2015 par le Tribunal d'arrondissement de Lausanne et porte la mention de son caractère définitif et exécutoire. Le Tribunal a dès lors retenu à bon droit que l'intimé était au bénéfice d'un titre de mainlevée définitive. La recourante soutient avoir contesté ledit jugement dans le délai légal fixé à cet effet. Elle allègue, de plus, avoir déposé plainte pénale contre cette décision le 17 septembre 2015 auprès du Ministère public genevois. Comme retenu supra , les faits sur lesquels se fondent la recourante sont irrecevables. Outre que la voie de droit ouverte contre le jugement était un appel devant le Tribunal cantonal vaudois et non devant les autorités genevoises, la recourante n'a produit aucun titre - recevable - rendant vraisemblable cette allégation. La recourante n'a ainsi produit aucune pièce démontrant l'existence d'un moyen libératoire. 3.5 Le recours sera, par conséquent, rejeté. 4. La recourante, qui succombe, sera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 fr. Partant, l'émolument de la présente décision sera fixé à 225 fr. et mis à la charge de la recourante, compensé avec l'avance de frais du même montant fournie par elle, laquelle reste acquise à l'Etat de Genève (art. 111 al. 1 CPC). Il ne sera pas alloué de dépens à l'intimé qui comparaît en personne, les démarches effectuées ne le justifiant pas (art. 95 al. 3 let. c CPC a contrario). 5. La valeur litigieuse, au sens de l'art. 51 LTF, est inférieure à 30'000 fr. * * * * * PAR CES MOTIFS, La Chambre civile : A la forme : Déclare recevable le recours interjeté le 23 janvier 2017 par A______ contre le jugement JTPI/125/2017 rendu le 9 janvier 2017 par le Tribunal de première instance dans la cause C/16891/2016-8 SML. Au fond : Le rejette. Déboute les parties de toutes autres conclusions. Sur les frais : Arrête les frais judiciaires à 225 fr., compensés avec l'avance de frais fournie du même montant, acquise à l'Etat de Genève. Les met à la charge de A______. Dit qu'il n'est pas alloué de dépens. Siégeant : Madame Pauline ERARD, présidente; Madame Nathalie LANDRY-BARTHE, Monsieur Ivo BUETTI, juges; Monsieur David VAZQUEZ, commis-greffier. La présidente : Pauline ERARD Le commis-greffier : David VAZQUEZ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