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C/16548/2015 vom 17. September 2015</w:t>
      </w:r>
    </w:p>
    <w:p>
      <w:r>
        <w:t>GE Cour de justice, 2015-09-17, FR</w:t>
      </w:r>
    </w:p>
    <w:p>
      <w:r>
        <w:rPr>
          <w:b/>
        </w:rPr>
        <w:t xml:space="preserve">Quelle: </w:t>
      </w:r>
      <w:r>
        <w:t>https://mcp.opencaselaw.ch/entscheid/ge_gerichte_C_16548_2015</w:t>
      </w:r>
    </w:p>
    <w:p>
      <w:r>
        <w:t>FR: GE_GERICHTE C/16548/2015 du 17 septembre 2015</w:t>
      </w:r>
    </w:p>
    <w:p>
      <w:r>
        <w:t>IT: GE_GERICHTE C/16548/2015 del 17 settembre 2015</w:t>
      </w:r>
    </w:p>
    <w:p>
      <w:pPr>
        <w:pStyle w:val="Heading2"/>
      </w:pPr>
      <w:r>
        <w:t>Regeste</w:t>
      </w:r>
    </w:p>
    <w:p>
      <w:r>
        <w:t>FRAIS JUDICIAIRES | CPC.106; CPC.107.1.e; CO.731b</w:t>
      </w:r>
    </w:p>
    <w:p>
      <w:pPr>
        <w:pStyle w:val="Heading2"/>
      </w:pPr>
      <w:r>
        <w:t>Volltext</w:t>
      </w:r>
    </w:p>
    <w:p>
      <w:r>
        <w:t>Genève Cour de Justice (Cour civile) Chambre civile (Sommaires) 12.02.2016 C/16548/2015</w:t>
      </w:r>
    </w:p>
    <w:p>
      <w:r>
        <w:t>FRAIS JUDICIAIRES | CPC.106; CPC.107.1.e; CO.731b</w:t>
      </w:r>
    </w:p>
    <w:p>
      <w:r>
        <w:t>C/16548/2015 ACJC/157/2016 du 12.02.2016 sur JTPI/10697/2015 ( SFC ) , CONFIRME Descripteurs : FRAIS JUDICIAIRES Normes : CPC.106; CPC.107.1.e; CO.731b En fait En droit Par ces motifs RÉPUBLIQUE ET CANTON DE GENÈVE POUVOIR JUDICIAIRE C/16548/2015 ACJC/157/2016 ARRÊT DE LA COUR DE JUSTICE Chambre civile du vendredi 12 fÉvrier 2016 Entre A______ , p.a. ______, Genève, recourante contre un jugement rendu par la 9ème Chambre du Tribunal de première instance de ce canton le 17 septembre 2015, comparant en personne, et B______ , sis ______, Genève, intimé, comparant en personne. EN FAIT A. a. Par requête du 12 août 2015, B______ a informé le Tribunal de première instance que la société A______ présentait des carences dans l'organisation impérativement prescrite par la loi et a sollicité que le Tribunal prenne l'une des mesures prévues par l'art. 731b al. 1 CO. b. Par citation du 12 août 2015, le Tribunal a convoqué les parties à une audience le 17 septembre 2015 à 15h10. c. Le 15 septembre 2015, A______ a adressé au B______ les documents nécessaires pour rétablir sa situation légale. d. Par courriel du 16 septembre 2015 à 09h58 B______ a informé le Tribunal de ce que A______ avait déposé les documents nécessaires pour rétablir la situation légale. B. Par jugement du 17 septembre 2015, le Tribunal de première instance a constaté que la société A______ ayant rétabli la situation légale, la procédure était devenue sans objet (ch. 1 du dispositif) et condamné ladite société à payer à l'Etat de Genève, soit pour lui les Services financiers du Pouvoir judiciaire, les frais judiciaires arrêtés à 400 fr. (ch. 2). Le Tribunal s'est référé au courriel du B______. C. Par courrier du 30 septembre 2015 adressé au Tribunal et transmis à la Cour par celui-ci, A______ a demandé l'annulation de sa condamnation aux frais, au motif que, au vu du courriel du B______ du 16 septembre 2015, le Tribunal "n'avait pas à statuer étant donné que la cause avait été retirée". EN DROIT 1. 1.1 La décision sur les frais - soit les frais judiciaires et les dépens (art. 95 al. 1 CPC) - ne peut être attaquée séparément que par un recours (art. 110 CPC). 1.2 Interjeté selon la forme et dans le délai prescrits (art. 321 al. 1 et 2 CPC), le recours est recevable. 2. La recourante conteste sa condamnation aux frais judiciaires. 2.1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 2.2 En l'espèce, la recourante a rétabli sa situation légale après le dépôt de la requête et après l'envoi de la convocation des parties par le Tribunal.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 Au vu de ce qui précède, le recours sera rejeté. 3. La recourante, qui succombe, sera condamnée aux frais du recours (art. 106 al. 1 CPC), arrêtés à 200 fr. (art. 26 et 38 RTFMC). * * * * * PAR CES MOTIFS, La Chambre civile : A la forme : Déclare recevable le recours interjeté par A______ contre le jugement JTPI/10697/2015 rendu le 17 septembre 2015 par le Tribunal de première instance dans la cause C/16458/2015-9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