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C/16540/2013 vom 20. Februar 2015</w:t>
      </w:r>
    </w:p>
    <w:p>
      <w:r>
        <w:t>GE Cour de justice, 2015-02-20, FR</w:t>
      </w:r>
    </w:p>
    <w:p>
      <w:r>
        <w:rPr>
          <w:b/>
        </w:rPr>
        <w:t xml:space="preserve">Quelle: </w:t>
      </w:r>
      <w:r>
        <w:t>https://mcp.opencaselaw.ch/entscheid/ge_gerichte_C_16540_2013</w:t>
      </w:r>
    </w:p>
    <w:p>
      <w:r>
        <w:t>FR: GE_GERICHTE C/16540/2013 du 20 février 2015</w:t>
      </w:r>
    </w:p>
    <w:p>
      <w:r>
        <w:t>IT: GE_GERICHTE C/16540/2013 del 20 febbraio 2015</w:t>
      </w:r>
    </w:p>
    <w:p>
      <w:pPr>
        <w:pStyle w:val="Heading2"/>
      </w:pPr>
      <w:r>
        <w:t>Regeste</w:t>
      </w:r>
    </w:p>
    <w:p>
      <w:r>
        <w:t>CONTRAT INDIVIDUEL DE TRAVAIL; CONVENTION COLLECTIVE DE TRAVAIL; GRATIFICATION; INDEMNITÉ(EN GÉNÉRAL); REMBOURSEMENT DE FRAIS(SENS GÉNÉRAL) | CO.322d; CO.327a</w:t>
      </w:r>
    </w:p>
    <w:p>
      <w:pPr>
        <w:pStyle w:val="Heading2"/>
      </w:pPr>
      <w:r>
        <w:t>Erwägungen</w:t>
      </w:r>
    </w:p>
    <w:p>
      <w:r>
        <w:rPr>
          <w:b/>
        </w:rPr>
        <w:t>E. 21</w:t>
      </w:r>
    </w:p>
    <w:p>
      <w:r>
        <w:t>novembre 2011. 6. Compte tenu de la valeur litigieuse, il n'est pas perçu de frais judiciaires de recours (art. 114 let. c CPC). Il n’est pas alloué de dépens dans les causes soumises à la juridiction des prud’hommes (art. 22 al. 2 LaCC). * * * * * PAR CES MOTIFS, La Chambre des prud'hommes, groupe 3 : A la forme : Déclare recevable le recours interjeté 15 septembre 2014 par A______ contre le jugement JTPH/310/2014 rendu le 5 août 2014 par le Tribunal des prud'hommes dans la cause C/16540/2013. Au fond : Rejette ce recours. Déboute les parties de toutes autres conclusions. Sur les frais : Dit qu'il n'est pas perçu de frais judiciaires de recours, ni alloué de dépens. Siégeant : Monsieur Laurent RIEBEN, président; Monsieur Tito VILA, juge employeur, Monsieur Michel DE COTE, juge salarié; Madame Véronique BULUNDWE-LÉVY, greffière. Le président : Laurent RIEBEN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