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C/16286/2015 vom 22. Januar 2016</w:t>
      </w:r>
    </w:p>
    <w:p>
      <w:r>
        <w:t>GE Cour de justice, 2016-01-22, FR</w:t>
      </w:r>
    </w:p>
    <w:p>
      <w:r>
        <w:rPr>
          <w:b/>
        </w:rPr>
        <w:t xml:space="preserve">Quelle: </w:t>
      </w:r>
      <w:r>
        <w:t>https://mcp.opencaselaw.ch/entscheid/ge_gerichte_C_16286_2015</w:t>
      </w:r>
    </w:p>
    <w:p>
      <w:r>
        <w:t>FR: GE_GERICHTE C/16286/2015 du 22 janvier 2016</w:t>
      </w:r>
    </w:p>
    <w:p>
      <w:r>
        <w:t>IT: GE_GERICHTE C/16286/2015 del 22 gennaio 2016</w:t>
      </w:r>
    </w:p>
    <w:p>
      <w:pPr>
        <w:pStyle w:val="Heading2"/>
      </w:pPr>
      <w:r>
        <w:t>Regeste</w:t>
      </w:r>
    </w:p>
    <w:p>
      <w:r>
        <w:t>EFFET SUSPENSIF | CPC.315</w:t>
      </w:r>
    </w:p>
    <w:p>
      <w:pPr>
        <w:pStyle w:val="Heading2"/>
      </w:pPr>
      <w:r>
        <w:t>Volltext</w:t>
      </w:r>
    </w:p>
    <w:p>
      <w:r>
        <w:t>Genf Cour de Justice (Cour civile) Chambre civile 22.01.2016 C/16286/2015 Genève Cour de Justice (Cour civile) Chambre civile 22.01.2016 C/16286/2015 Ginevra Cour de Justice (Cour civile) Chambre civile 22.01.2016 C/16286/2015</w:t>
      </w:r>
    </w:p>
    <w:p>
      <w:r>
        <w:t>EFFET SUSPENSIF | CPC.315</w:t>
      </w:r>
    </w:p>
    <w:p>
      <w:r>
        <w:t>C/16286/2015 ACJC/52/2016 du 22.01.2016 sur JTPI/15009/2015 ( SDF ) Descripteurs : EFFET SUSPENSIF Normes : CPC.315 Par ces motifs RÉPUBLIQUE ET CANTON DE GENÈVE POUVOIR JUDICIAIRE C/16286/2015 ACJC/52/2016 ARRÊT DE LA COUR DE JUSTICE Chambre civile du VENDREDI 22 JANVIER 2016 Entre A______ , domiciliée ______, (GE), appelante d'un jugement rendu par la 16ème Chambre du Tribunal de première instance de ce canton le 9 décembre 2015, comparant par Me Cyril Aellen, avocat, 61, rue du Rhône, case postale 3558, 1211 Genève 3, en l'étude duquel elle fait élection de domicile, et B______ , domicilié ______, (GE), intimé, comparant par Me Michael Anders, avocat, 11, rue du Conseil-Général, 1205 Genève, en l'étude duquel il fait élection de domicile. Vu, EN FAIT , le jugement JTPI/15009/2015 du 9 décembre 2015, notifié le 14 décembre 2015 à A______, aux termes duquel le Tribunal de première instance, statuant sur mesures provisionnelles, a, notamment, fixé la contribution d'entretien en faveur de B______ à 2'000 fr. par mois, à compter du 1 er janvier 2016 (ch. 4); Vu l'appel déposé le 23 décembre 2015 par A______ au greffe de la Cour de justice par lequel elle demande qu'il soit dit qu'aucune contribution d'entretien n'est due; Qu'elle requiert l'octroi de l'effet suspensif, expliquant que son disponible de 2'700 fr. par mois ne lui permet pas de couvrir les charges de sa fille majeure, ni celles liées à un éventuel nouveau logement, en particulier à la fourniture d'une garantie de loyer qu'elle estime à au moins 6'000 fr.; Qu'invité à se déterminer sur la requête d'effet suspensif, l'intimé s'y oppose, exposant que les frais de la fille majeure du couple ne sont pas documentés ni même chiffrés, qu'il est disposé à loger sa fille dans l'ancien domicile conjugal et à laisser à l'appelante le temps suffisant pour trouver un logement adéquat;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 disponible de l'appelante lui permet de faire face au paiement de la somme de 2'000 fr. arrêtée par le Tribunal; Qu'elle reconnaît que l'obligation d'entretien en faveur de l'intimé prend le pas sur celui de la fille majeure du couple; Qu'elle ne rend, en outre, pas vraisemblable à ce stade qu'elle serait sur le point de conclure un nouveau bail, étant précisé que le Tribunal a retenu un loyer estimatif de 2'000 fr. par mois pour l'appelante et que le versement d'une garantie de loyer ne constitue pas une charge durable; Que, partant, le paiement de la contribution d'entretien n'est pas susceptible de porter atteinte au minimum vital de l'appelante; Qu'en outre, si l'appel devait être admis, même partiellement, l'appelante pourra opposer en compensation l'éventuel montant versé en trop dans le cadre de la liquidation du régime matrimonial des parties; Qu'ainsi, l'exécution immédiate du jugement n'étant pas susceptible de causer à l'appelante un préjudice difficilement réparable, il n'y a pas lieu de prononcer l'effet suspensif;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4 du dispositif du jugement JTPI/15009/2015 rendu le 9 décembre 2015 par le Tribunal de première instance dans la procédure C/16286/2015-16.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