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C/16239/2008 vom 11. Juni 2009</w:t>
      </w:r>
    </w:p>
    <w:p>
      <w:r>
        <w:t>GE Cour de justice, 2009-06-11, FR</w:t>
      </w:r>
    </w:p>
    <w:p>
      <w:r>
        <w:rPr>
          <w:b/>
        </w:rPr>
        <w:t xml:space="preserve">Quelle: </w:t>
      </w:r>
      <w:r>
        <w:t>https://mcp.opencaselaw.ch/entscheid/ge_gerichte_C_16239_2008</w:t>
      </w:r>
    </w:p>
    <w:p>
      <w:r>
        <w:t>FR: GE_GERICHTE C/16239/2008 du 11 juin 2009</w:t>
      </w:r>
    </w:p>
    <w:p>
      <w:r>
        <w:t>IT: GE_GERICHTE C/16239/2008 del 11 giugno 2009</w:t>
      </w:r>
    </w:p>
    <w:p>
      <w:pPr>
        <w:pStyle w:val="Heading2"/>
      </w:pPr>
      <w:r>
        <w:t>Regeste</w:t>
      </w:r>
    </w:p>
    <w:p>
      <w:r>
        <w:t>LIMITATION(EN GÉNÉRAL); PROPRIÉTÉ FONCIÈRE ; ACTION EN CESSATION DE TROUBLE | CC.687. CC.688. CC.684. LACC.64. LACC.65B. LACC.65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L'appelant, qui succombe dans ses conclusions, sera condamné aux frais et dépens de la procédure d'appel (art. 176 al. 1 LPC). Le litige ayant été taxé selon les dispositions concernant les causes à valeur indéterminée, il y a matière à la fixation d'un émolument complémentaire, qui sera arrêté à 2'500 fr. compte tenu, en particulier, du travail important engendré par la rédaction du présent arrêt (art. 24 du Règlement fixant le tarif des greffes en matière civile.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