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C/15817/2021 vom 21. März 2024</w:t>
      </w:r>
    </w:p>
    <w:p>
      <w:r>
        <w:t>GE Cour de justice, 2024-03-21, FR</w:t>
      </w:r>
    </w:p>
    <w:p>
      <w:r>
        <w:rPr>
          <w:b/>
        </w:rPr>
        <w:t xml:space="preserve">Quelle: </w:t>
      </w:r>
      <w:r>
        <w:t>https://mcp.opencaselaw.ch/entscheid/ge_gerichte_C_15817_2021</w:t>
      </w:r>
    </w:p>
    <w:p>
      <w:r>
        <w:t>FR: GE_GERICHTE C/15817/2021 du 21 mars 2024</w:t>
      </w:r>
    </w:p>
    <w:p>
      <w:r>
        <w:t>IT: GE_GERICHTE C/15817/2021 del 21 marzo 2024</w:t>
      </w:r>
    </w:p>
    <w:p>
      <w:pPr>
        <w:pStyle w:val="Heading2"/>
      </w:pPr>
      <w:r>
        <w:t>Regeste</w:t>
      </w:r>
    </w:p>
    <w:p>
      <w:r>
        <w:t>CPC.315.al5</w:t>
      </w:r>
    </w:p>
    <w:p>
      <w:pPr>
        <w:pStyle w:val="Heading2"/>
      </w:pPr>
      <w:r>
        <w:t>Volltext</w:t>
      </w:r>
    </w:p>
    <w:p>
      <w:r>
        <w:t>Genf Cour de Justice (Cour civile) Chambre civile 21.03.2024 C/15817/2021 Genève Cour de Justice (Cour civile) Chambre civile 21.03.2024 C/15817/2021 Ginevra Cour de Justice (Cour civile) Chambre civile 21.03.2024 C/15817/2021</w:t>
      </w:r>
    </w:p>
    <w:p>
      <w:r>
        <w:t>C/15817/2021 ACJC/393/2024 du 21.03.2024 sur JTPI/2700/2024 ( SDF ) Normes : CPC.315.al5 Par ces motifs republique et canton de geneve POUVOIR JUDICIAIRE C/15817/2021 ACJC/393/2024 ARRÊT DE LA COUR DE JUSTICE Chambre civile DU JEUDI 21 MARS 2024 Entre Madame A ______ , domiciliée ______, représentée par Me Liza SANT'ANA LIMA, avocate, SANT'ANA LIMA AVOCATS SA, rue de Lausanne 69, case postale, 1211 Genève 1, appelante d'un jugement rendu par la 1ère Chambre du Tribunal de première instance de ce canton le 8 mars 2024. et 1) Monsieur B ______ , domicilié ______, intimé, représenté par Me Bernard NUZZO, avocat, DJAZIRI &amp; NUZZO, rue Leschot 2, 1205 Genève, 2) Le Mineur C ______ , représenté par sa mère A______, domicilié ______, représenté par son curateur, Me D______, avocat, ______, autre intimé. Vu, EN FAIT , le jugement JTPI/2700/2024 du 23 février 2024, par lequel le Tribunal de première instance (ci-après : le Tribunal), statuant sur mesures protectrices de l'union conjugale, a autorisé les époux B______ et A______ à vivre séparés (chiffre 1 du dispositif), attribué à l'épouse la jouissance exclusive du logement familial (ch. 2), attribué au père la garde de l'enfant C______ (ch. 3), réservé à la mère un droit de visite devant s'exercer, à défaut d'accord contraire des parties, à raison d'un week-end sur deux, les semaines paires, du vendredi à la sortie de l'école au lundi matin au retour à l'école, ainsi que durant la moitié des vacances scolaires (ch. 4), fait interdiction à A______ de quitter le territoire suisse avec l'enfant (ch. 5), cette interdiction ayant été prononcée sous la menace de la peine prévue par l'art. 292 CP, dont la teneur a été rappelée (ch. 6), ordonné l'inscription de cette interdiction dans les systèmes RIPOL et SIS (ch. 7), dit que, compte tenu de sa situation personnelle, A______ était provisoirement libérée de son obligation d'entretien à l'égard de son fils (ch. 8), dit que l'entretien convenable de l'enfant s'élevait à 868 fr. 55, allocations familiales non déduites (ch. 9), attribué au père les allocations familiales (ch. 10), ordonné à l'épouse d'entreprendre un suivi psychiatrique régulier (ch. 11), ordonné le suivi psychothérapeutique individuel de l'enfant (ch. 12), ordonné aux parties d'entreprendre une thérapie de coparentalité (ch. 13), maintenu la curatelle d'assistance éducative et instauré une curatelle d'organisation et de surveillance des relations personnelles (ch. 14); le Tribunal a par ailleurs transmis le jugement au Tribunal de protection de l'adulte et de l'enfant (ch. 15), arrêté et réparti les frais judiciaires, sans allouer de dépens (ch. 16 et 17) et débouté les parties de toutes autres conclusions (ch. 18); Vu l'appel formé par A______ contre ce jugement, concluant à l'annulation des chiffres 3, 4 et 10 du dispositif, à l'attribution à elle-même de la garde du mineur, un droit de visite devant être réservé au père, lequel devait être condamné à verser en ses mains, par mois et d'avance, allocations familiales non comprises, la somme de 1'130 fr. à titre de contribution à l'entretien de l'enfant, les allocations familiales devant lui être attribuées; Que préalablement, l'appelante a conclu à l'octroi de l'effet suspensif et, ce faisant, à ce que la garde de l'enfant lui soit attribuée; Que sur ce point, elle a allégué que le mineur avait toujours vécu auprès d'elle, le père n'ayant exercé, depuis la séparation intervenue au mois d'août 2021, qu'un droit de visite; que par ailleurs, l'enfant ne disposait pas de sa propre chambre chez son père; Que par ordonnance du 14 mars 2024, un délai de trois jours a été imparti à B______ pour se prononcer sur la requête d'effet suspensif; Que l'intimé n'y a pas donné suite;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il ressort du dossier que depuis la séparation des parties, l'enfant a vécu auprès de sa mère; Qu'il convient dès lors, afin de préserver la stabilité du mineur et de lui éviter un éventuel aller-retour entre ses parents, de maintenir le statu quo pendant la durée de la procédure d'appel; Qu'au vu de ce qui précède, l'effet suspensif sera accordé s'agissant des chiffres 3, 4 et 10 du dispositif du jugement attaqué, qui sont liés; Que pour le surplus, l'appelante sera déboutée de ses conclusions préalables; Que rien ne justifie en effet, à ce stade, d'attribuer la garde de l'enfant à sa mère, étant relevé qu'une telle attribution a déjà eu lieu, sur mesures provisionnelles, par ordonnance OTPI/635/2022 du 3 octobre 2022; Que la question des frais sera renvoyée à l'arrêt au fond (art. 104 al. 3 CPC). * * * * * PAR CES MOTIFS, La Chambre civile : Statuant sur requête de suspension du caractère exécutoire du jugement entrepris : Suspend le caractère exécutoire attaché aux chiffres 3, 4 et 10 du dispositif du jugement JTPI/2700/2024 rendu le 23 février 2024 par le Tribunal de première instance dans la cause C/15817/2021. Rejette la requête pour le surplus. Dit qu'il sera statué sur les frais liés à la présente décision dans l'arrêt au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