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C/1560/2017 vom 12. April 2017</w:t>
      </w:r>
    </w:p>
    <w:p>
      <w:r>
        <w:t>GE Cour de justice, 2017-04-12, FR</w:t>
      </w:r>
    </w:p>
    <w:p>
      <w:r>
        <w:rPr>
          <w:b/>
        </w:rPr>
        <w:t xml:space="preserve">Quelle: </w:t>
      </w:r>
      <w:r>
        <w:t>https://mcp.opencaselaw.ch/entscheid/ge_gerichte_C_1560_2017</w:t>
      </w:r>
    </w:p>
    <w:p>
      <w:r>
        <w:t>FR: GE_GERICHTE C/1560/2017 du 12 avril 2017</w:t>
      </w:r>
    </w:p>
    <w:p>
      <w:r>
        <w:t>IT: GE_GERICHTE C/1560/2017 del 12 aprile 2017</w:t>
      </w:r>
    </w:p>
    <w:p>
      <w:pPr>
        <w:pStyle w:val="Heading2"/>
      </w:pPr>
      <w:r>
        <w:t>Regeste</w:t>
      </w:r>
    </w:p>
    <w:p>
      <w:r>
        <w:t>BAIL À LOYER ; ATTRIBUTION DE L'EFFET SUSPENSIF ; ORDRE D'ÉVACUATION | CPC.315.5;</w:t>
      </w:r>
    </w:p>
    <w:p>
      <w:pPr>
        <w:pStyle w:val="Heading2"/>
      </w:pPr>
      <w:r>
        <w:t>Volltext</w:t>
      </w:r>
    </w:p>
    <w:p>
      <w:r>
        <w:t>Genève Cour de Justice (Cour civile) Chambre des baux et loyers 12.04.2017 C/1560/2017</w:t>
      </w:r>
    </w:p>
    <w:p>
      <w:r>
        <w:t>BAIL À LOYER ; ATTRIBUTION DE L'EFFET SUSPENSIF ; ORDRE D'ÉVACUATION | CPC.315.5;</w:t>
      </w:r>
    </w:p>
    <w:p>
      <w:r>
        <w:t>C/1560/2017 ACJC/451/2017 du 12.04.2017 sur JTBL/246/2017 ( SP ) Descripteurs : BAIL À LOYER ; ATTRIBUTION DE L'EFFET SUSPENSIF ; ORDRE D'ÉVACUATION Normes : CPC.315.5; Par ces motifs RÉPUBLIQUE ET CANTON DE GENÈVE POUVOIR JUDICIAIRE C/1560/2017 ACJC/451/2017 ARRÊT DE LA COUR DE JUSTICE Chambre des baux et loyers du MERCREDI 12 AVRIL 2017 Entre Monsieur A______ et Madame B______ , domiciliés ______ (Genève), recourants contre une ordonnance rendue par le Tribunal des baux et loyers le 17 mars 2017, tous deux représentés par l'ASLOCA, rue du Lac 12, case postale 6150, 1211 Genève 6, et C______ SA MARCONI INVESTMENT SA , sise ______ (Genève), intimée, représentée par l'agence immobilière D______ SA, chemin ______Genève. Vu, EN FAIT , l'ordonnance rendue par le Tribunal des baux et loyers le 17 mars 2017, expédiée pour notification aux parties le même jour, par lequel il a, statuant sur mesures provisionnelles, rejeté la requête formée le 27 janvier 2017 par A______ et B______ contre C______ SA et débouté les parties de toutes autres conclusions, Attendu que le Tribunal a retenu que A______ et B______ alléguaient être au bénéfice d'un bail tacite, ayant régulièrement payé un "loyer" entre 2011 et 2013, se référant notamment à une "situation locataire" de juin 2016, que C______ SA avait produit des décomptes dont il résultait le paiement d'indemnités pour occupation illicite fréquemment acquittées le 10 du mois courant, qu'en conséquence A______ et B______ ne rendaient pas vraisemblable la titularité du droit invoqué, Vu l'appel formé le 30 mars 2017 par A______ et B______ contre l'ordonnance précitée, tendant à son annulation, cela fait à ce qu'il soit fait interdiction à C______ SA de procéder à leur évacuation forcée de l'appartement de sept pièces au 8 ème étage de l'immeuble sis rue E______ 4 à F______ (Genève), sous menace des peines prévues à l'art. 292 CP, Vu la requête d'octroi suspensif à l'appel, Attendu que C______ SA n'a pas déposé de détermination sur ladite requête, Qu'à l'appui de celle-ci, A______ et B______ soutiennent que leur appel serait vidé de son objet si l'exécution du jugement querellé avait lieu avant qu'il soit statué sur le fond de leur appel, et qu'ils en subiraient un préjudice irréparable dans la mesure où ils ne disposent pas de solution de relogement, Considérant, EN DROIT , que l'appel a été formé dans le délai légal et selon la forme requise (art. 311 al. 1 et 314 al. 1 CPC); qu'il est ainsi recevable,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l'évacuation forcée des appelants est de nature à leur causer un dommage irréversible, au surplus déterminant pour le sort du fond de l'appel sans préjuger des chances de succès de celui-ci, Que l'intimée ne fait pas valoir d'intérêt commandant une solution inverse, faute de s'être déterminée, Qu'il convient également de tenir compte de la courte durée présumable de la présente procédure, jugée selon la procédure sommaire (art. 248 let. d CPC), Qu'il se justifie dès lors de suspendre le caractère exécutoire de la décision entreprise. * * * * * PAR CES MOTIFS, La Présidente de la Chambre des baux et loyers : Suspend le caractère exécutoire du dispositif de l'ordonnance JTBL/246/2017 rendue le 17 mars 2017 par le Tribunal des baux et loyers dans la cause C/1560/2017-2. Siégeant : Madame Sylvie DROIN, présidente; Madame Maïté VALENTE, greffière. La présidente : Sylvie DROIN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