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C/1538/2015 vom 2. Dezember 2016</w:t>
      </w:r>
    </w:p>
    <w:p>
      <w:r>
        <w:t>GE Cour de justice, 2016-12-02, FR</w:t>
      </w:r>
    </w:p>
    <w:p>
      <w:r>
        <w:rPr>
          <w:b/>
        </w:rPr>
        <w:t xml:space="preserve">Quelle: </w:t>
      </w:r>
      <w:r>
        <w:t>https://mcp.opencaselaw.ch/entscheid/ge_gerichte_C_1538_2015</w:t>
      </w:r>
    </w:p>
    <w:p>
      <w:r>
        <w:t>FR: GE_GERICHTE C/1538/2015 du 2 décembre 2016</w:t>
      </w:r>
    </w:p>
    <w:p>
      <w:r>
        <w:t>IT: GE_GERICHTE C/1538/2015 del 2 dicembre 2016</w:t>
      </w:r>
    </w:p>
    <w:p>
      <w:pPr>
        <w:pStyle w:val="Heading2"/>
      </w:pPr>
      <w:r>
        <w:t>Regeste</w:t>
      </w:r>
    </w:p>
    <w:p>
      <w:r>
        <w:t>CONTRAT DE DÉPÔT; IMPOSSIBILITÉ; MANDAT | CO.481.1; CO.475.1; CO.119.1; CO.397.1; LDIP.19</w:t>
      </w:r>
    </w:p>
    <w:p>
      <w:pPr>
        <w:pStyle w:val="Heading2"/>
      </w:pPr>
      <w:r>
        <w:t>Volltext</w:t>
      </w:r>
    </w:p>
    <w:p>
      <w:r>
        <w:t>Genf Cour de Justice (Cour civile) Chambre civile 02.12.2016 C/1538/2015 Genève Cour de Justice (Cour civile) Chambre civile 02.12.2016 C/1538/2015 Ginevra Cour de Justice (Cour civile) Chambre civile 02.12.2016 C/1538/2015</w:t>
      </w:r>
    </w:p>
    <w:p>
      <w:r>
        <w:t>CONTRAT DE DÉPÔT; IMPOSSIBILITÉ; MANDAT | CO.481.1; CO.475.1; CO.119.1; CO.397.1; LDIP.19</w:t>
      </w:r>
    </w:p>
    <w:p>
      <w:r>
        <w:t>C/1538/2015 ACJC/1585/2016 du 02.12.2016 sur JTPI/2446/2016 ( OOC ) , CONFIRME Descripteurs : CONTRAT DE DÉPÔT; IMPOSSIBILITÉ; MANDAT Normes : CO.481.1; CO.475.1; CO.119.1; CO.397.1; LDIP.19 En fait En droit Par ces motifs RÉPUBLIQUE ET CANTON DE GENÈVE POUVOIR JUDICIAIRE C/1538/2015 ACJC/1585/2016 ARRÊT DE LA COUR DE JUSTICE Chambre civile du VENDREDI 2 DÉCEMBRE 2016 Entre A______ , ayant son siège social ______, Genève, appelante d'un jugement rendu par la 14ème Chambre du Tribunal de première instance de ce canton le 19 février 2016, comparant par Me Dominique Christin et Me Thomas Goossens, avocats, rue Jacques-Balmat 5, case postale 5839, 1211 Genève 11, en l'étude desquels elle fait élection de domicile aux fins des présentes, et Monsieur B______ , domicilié ______, (France), intimé, comparant par Me Marc Béguin, avocat, rue du Marché 20, case postale 3029, 1211 Genève 3, en l'étude duquel il fait élection de domicile aux fins des présentes. EN FAIT A. a. Par jugement JTPI/2446/2016 du 19 février 2016, le Tribunal de première instance a condamné A______ à exécuter l'ordre communiqué par B______ le 11 décembre 2013, et ce faisant à transférer la somme de xxxx € sur le compte IBAN 1______, BIC 2______, dont B______ est titulaire auprès de la banque C______, à Z_____, avec intérêts à 5% dès le 11 décembre 2013, mis à la charge de A______ les frais judiciaires, arrêtés à 30'000 fr. et compensés avec l'avance fournie, condamné A______ à payer à B______ le montant de 30'000 fr, au titre de remboursement de l'avance de frais, et de 15'000 fr. TTC, au titre de dépens, et débouté les parties de toutes autres conclusions. b. Par acte déposé le 11 avril 2016 au greffe de la Cour de justice, A______ (ci-après : la banque) appelle de cette décision, qu'elle a reçue le 24 février 2016, concluant à son annulation et, cela fait, au déboutement de B______ de toutes ses conclusions. A l'appui de son appel, la banque produit des pièces nouvelles, à savoir divers articles de presse parus entre le 17 mai 2013 et le 10 février 2016 (pièces 19 à 21 et 23 à 28) et le rapport du Conseil fédéral "Violation de la législation économique et fiscale d'autres Etats" du 11 décembre 2015 donnant suite au postulat Zanetti (pièce 22). c. B______ conclut à la confirmation de la décision attaquée. d. Par réplique du 20 juin et duplique du 22 juin 2016, les parties ont persisté dans leurs conclusions respectives. A______ a, à cette occasion, produit deux nouvelles pièces, soit un extrait du projet de révision de la Circulaire FINMA 2008/21 concernant les risques des opérations de prestations de service transfrontières mis à la disposition du public sur internet le 1 er mars 2016 (pièce 29) et un compte rendu de l'exposé du directeur de la FINMA lors de la conférence de presse annuelle de cette dernière du 7 avril 2016 (pièce 30). B. Les éléments pertinents suivants ressortent de la procédure : a. B______, ressortissant néerlandais, est titulaire d'un compte bancaire n° 3______ ouvert le 28 juillet 1997 auprès de la banque A______, dont le siège est à Genève. Il est domicilié en France depuis le début de la relation bancaire. b. La correspondance bancaire relative au compte était conservée en banque restante conformément aux instructions du client. Les conditions générales en vigueur à l'ouverture du compte réservaient le droit à la banque de modifier ses conditions générales en tout temps. Ces modifications étaient communiquées aux clients par voie de circulaire ou par tout autre moyen approprié, si la banque le jugeait nécessaire. Faute de contestation dans le délai d'un mois, elles étaient considérées comme approuvées. L'art. 2.1 des conditions générales de A______, dans leur version de décembre 2010, juin 2013 et août 2014, prévoient que " la banque se réserve le droit, en tout temps et sans avoir à motiver sa décision, de ne pas accepter des actifs, de refuser des opérations, de limiter certaines opérations ou d'imposer des conditions particulières à des opérations. Les éventuelles conséquences directes ou indirectes de ces refus, limitations ou conditions ne sauraient être mises à la charge de la Banque ". Les conditions générales, tant dans leur version actuelle que dans celle en vigueur à l'ouverture du compte, prévoient une élection de for en faveur des tribunaux du siège de la banque en Suisse et l'application du droit suisse à l'intégralité des relations entre le client et la banque. c. Par lettre du 28 juin 2013, adressée en banque restante, A______ a informé B______ que, comme toutes les institutions financières, elle était tenue d'adopter des règles de plus en plus strictes destinées à proscrire l'utilisation abusive du système financier et plus particulièrement à empêcher le non-respect par un contribuable de ses obligations fiscales. Elle se trouvait ainsi dans l'obligation de rappeler à son client qu'il lui appartenait de se conformer aux obligations fiscales qui lui étaient applicables et de s'assurer que tous les comptes et actifs déposés auprès d'elle, ainsi que les revenus générés, étaient déclarés auprès des autorités, tant dans son pays de résidence que dans toute autre juridiction où une telle déclaration s'avérait nécessaire. La banque a, en conséquence, imparti à B______ un délai au 31 octobre 2013 pour lui retourner une déclaration de conformité fiscale, dont le modèle était annexé, étant précisé que cette déclaration faisait désormais partie de la documentation fondamentale en matière de connaissance de la clientèle et s'avérait essentielle à la poursuite de leurs relations. L'établissement a également mis fin à la convention de banque restante avec effet au 31 octobre 2013 et prié son client de bien vouloir indiquer, au moyen d'un formulaire joint au courrier, s'il préférait que la correspondance lui soit désormais envoyée à son adresse postale ou mise à sa disposition par le biais des services e-banking. d. B______ n'a jamais retourné à la banque cette déclaration de conformité fiscale. e. Par courrier du 3 décembre 2013, il a requis la clôture de son compte bancaire et le transfert de ses avoirs auprès d'un compte nominatif dans une banque à Dubaï. A______ a refusé le transfert, motivant sa position par le fait que son client n'avait pas remis la déclaration de conformité fiscale. f. Le 11 décembre 2013, B______ a donné pour instruction à A______ de clôturer son compte et de transférer l'intégralité de ses avoirs (à savoir xxxx €) auprès d'C______ à ______, aux Pays-Bas. Les documents nécessaires à la régularisation de son compte lui ont été remis le même jour. Par courrier de son conseil du 12 décembre 2013, il a sollicité que lui soient remis tous documents relatifs à son compte et en particulier son ordre de transfert de la veille ainsi qu'une confirmation de la banque de son refus de l'exécuter. Par lettre du 3 janvier 2014 au conseil de B______, se référant aux requêtes des 11 et 12 décembre 2013, la banque l'a informé de ce que sa direction générale avait récemment confirmé l'option d'encourager la régularisation des comptes des résidents de France et des autres Etats de l'Union Européenne. Dans cette perspective, il s'agissait pour B______ de procéder formellement à la régularisation de son compte sur la base des relevés fournis comme préalable à l'exécution de son instruction de transfert. g. Il est admis que A______ a mis en place une politique en matière de gestion des risques dans ses activités transfrontières, tendant à refuser d'exécuter des transferts de fonds ou de clôturer des comptes et de restituer les avoirs s'agissant de clients (ou ayants droit économiques) résidant en France, à moins que ceux-ci établissent la conformité fiscale de leurs avoirs, soit en requièrent le transfert en faveur d'un compte nominatif ouvert auprès d'une banque établie en France. Pour fonder sa politique, A______ invoque la " Position de la FINMA à propos des risques juridiques et de réputation dans le cadre des activités financières transfrontières " du 22 octobre 2010, qui " porte sur les risques juridiques et de réputation dans le cadre des activités financières transfrontières, risques qui résultent du fait que les prescriptions de droit étranger applicables à une situation (par ex. la fourniture d'une prestation ou la vente d'un produit) ont été violées ou éludées ". La banque se prévaut également d'une " foire aux questions " de la FINMA au sujet des " Risques juridiques et de réputation dans le cadre des activités financières transfrontières " du 19 juin 2012, en particulier des éléments suivants : " Pour pouvoir identifier, mesures, évaluer et gérer les risques engendrés par les activités transfrontières, il convient en principe de prendre en compte tous les domaines juridiques mentionnés dans la Position Risques juridiques. En font notamment partie le droit fiscal étranger et le droit pénal qui lui est lié. Il est avant tout important de savoir si et quand le droit étranger et les autorités chargées de son application considèrent les actes ou les omissions d'institutions financières comme constitutives de participation à des délits fiscaux. Cela est pertinent même lorsque les activités se déroulent exclusivement en Suisse. Sans une analyse de ces questions et des risques auxquels sont exposés l'institution et ses collaborateurs, il n'est pas possible de prendre des mesures décisives en matière de réduction des risques ". C. a. Le 23 janvier 2015, B______ a déposé une action à l'encontre de A______ tendant à ce qu'il soit ordonné à cette dernière d'exécuter ses instructions du 11 décembre 2013 de transférer la somme de xxxx € sur son compte IBAN 1______, BIC 2______, détenu auprès de la banque C______, à Z_____, avec intérêts à 5% dès le 11 décembre 2013. b. La banque a conclu au rejet de la demande, exposant que la restitution des fonds du client était possible, sous réserve de ce que celui-ci lui apporte la preuve de la conformité fiscale de ses avoirs ou qu'il en sollicite le transfert vers un établissement bancaire situé en France, sur un compte ouvert en son nom. Elle a expliqué que c'était du fait que le compte avait présenté et présentait encore des indices de non-conformité fiscale qu'elle avait refusé de donner suite à ses instructions de transfert. A son avis, en exécutant un ordre de transfert hors France, elle commettrait, à titre de complice, voire de co-auteur, diverses infractions pénales selon le droit français, à savoir une fraude fiscale aggravée et un blanchiment de fraude fiscale. Pour éviter tout risque de ce type, la FINMA aurait édicté des règles qui imposeraient aux banques de ne pas se livrer à ce type d'opération financière sans avoir préalablement clarifié la situation en tenant compte des risques liés à la violation du droit étranger. Selon la banque, elle avait fait part à la FINMA de sa politique et des mesures prises concernant les clients français présentant des indices de non-conformité fiscale. La FINMA aurait adhéré à ce mode de faire. La banque s'est fondée sur les garanties d'une activité irréprochable, auxquelles elle était tenue de se conformer, pour se prévaloir d'une impossibilité juridique subséquente (art. 119 al. 1 CO). Elle a également invoqué l'art. 2.1 de ses conditions générales et l'art. 19 LDIP permettant, à son avis, la prise en considération du droit pénal français dans les rapports contractuels des parties. c. B______ a indiqué avoir ouvert un compte auprès de A______ du fait qu'un de ses amis y était collaborateur, précisant y avoir fait transférer les avoirs dont il disposait auprès de H______. Il arrivait que les collaborateurs de la banque soient de passage en France et qu'ils le sollicitent pour augmenter ses avoirs. La représentant de la banque, I______, juriste auprès de cette dernière depuis 2014, a indiqué ne pas avoir eu elle-même de contacts avec la FINMA au sujet de la politique de la banque en matière de gestion des risques transfrontières. Néanmoins, au sein du secteur juridique, les collaborateurs savaient que la banque avait contacté la FINMA en rapport avec cette question et que cette dernière avait approuvé sa politique. Elle ignorait sous quelle forme avait eu lieu la communication à la FINMA. Enfin, elle ignorait si la FINMA avait explicitement dit à la banque qu'il était interdit de transférer des fonds à un client français dont la conformité fiscale était douteuse. d. J______, employée de la banque en qualité de gérante de fortune, a indiqué ne pas être au courant de la communication, par la banque à la FINMA, de sa politique, ni de la réaction de cette dernière. Elle a indiqué que les instructions reçues de la part de la banque concernant les clients français, sous la forme de directive interne, consistaient à leur demander de démontrer qu'ils avaient déclaré leurs avoirs aux autorités fiscales françaises ou de transférer ces avoirs en France, à leur nom. La régularisation de la situation fiscale était nécessaire pour que la banque garde les fonds, expliquant toutefois qu'en cas de refus du client, la situation de ce dernier était du ressort du département juridique et plus du sien, de sorte qu'elle ignorait ce qui se passait. D. a. Dans le jugement entrepris, le Tribunal a retenu que le cadre juridique était demeuré inchangé, tant sur le plan du droit pénal étranger que sur celui du droit bancaire suisse, de sorte que la banque ne pouvait se prévaloir d'une impossibilité juridique subséquente. Les circonstances ne s'étant pas modifiées de manière imprévisible, le principe de la clausula rebus sic stantibus ne pouvait trouver application. Par ailleurs, l'interprétation objective de l'art. 2.1 des CGA ne permettait pas non plus de justifier le refus de la banque. Enfin, les normes légales de droit français prohibant la fraude fiscale ne constituaient pas des principes d'ordre public étranger ayant vocation à être pris en considération au sens de l'art. 19 LDIP. b. Dans son appel, la banque reprend son argumentaire de première instance sur l'application de l'art. 2.1 de ses conditions générales et des art. 119 CO (impossibilité juridique subséquente) et 19 LDIP (prise en considération du droit pénal français dans les rapports contractuels des parties). Elle invoque en outre une violation de l'art. 397 al. 1 CO, la banque n'étant pas tenue d'exécuter une instruction illicite, et de l'art. 2 al. 2 CC, dans la mesure où elle est fondée à se prévaloir du principe clausula rebus sic stantibus et que la requête de l'intimé constitue en tout état de cause un abus de droit. Elle se réfère par ailleurs à un avis de droit, qui, selon elle, trouve écho dans l'actualité pénale française, pour prouver qu'elle encourt le risque de poursuites pénales si elle exécute le transfert des avoirs du client sur un compte nominatif ouvert auprès d'un établissement bancaire hollandais. EN DROIT 1. 1.1 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145 al. 1 let. a et 311 al. 1 CPC). 1.2 La Cour revoit la cause avec un plein pouvoir d'examen (art. 310 CPC). Elle applique en outre la maxime des débats et le principe de disposition (art. 55 al. 1 et 58 al. 1 CPC). 1.3 L'appelante a produit des pièces nouvelles.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 étant relevé que le droit étranger ne relève, en principe, pas du fait, mais du droit de sorte qu'une interdiction de présenter des moyens de preuve nouveaux ne s'y applique pas (ATF 138 III 232 consid. 4.2.4). 1.3.2 En l'espèce, les pièces produites par l'appelante sont recevables, dès lors qu'il s'agit de divers articles de journaux et de documents tendant à étoffer son argumentaire juridique. 2. L'intimé étant domicilié à l'étranger, la cause revêt un caractère international. Vu les élections de for et de droit convenues par les parties, les autorités genevoises sont compétentes pour connaître du présent litige (art. 1 al. 2 LDIP; art. 23 al. 1 let. a CL) et le droit suisse est applicable (art. 116 LDIP). 3. 3.1 Il n'est pas contesté que les parties sont liées par une relation juridique complexe comportant des éléments caractéristiques d'un compte courant (pour le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 3.2 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 ème éd., 2012, n. 5 ad art. 475 CO; cf. ég. ATF 100 II 153 , JdT 1975 I 174). A cet égard, le Tribunal fédéral a récemment rappelé, dans le cadre de deux procédures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 peuvent l'emporter sur le droit de ce dernier à obtenir la restitution de ses avoirs. 4. L'appelante reproche au Tribunal de ne pas avoir appliqué l'art. 2.1 de ses conditions générales, par lesquelles elle s'était réservée le droit de refuser des opérations, de limiter certaines opérations ou d'imposer des conditions particulières à des opérations et ce sans avoir à motiver sa décision vis-à-vis du client. Cette condition particulière serait licite au regard de l'art. 475 al. 1 CO, de droit impératif, dans la mesure où elle ne remettrait pas en cause le principe d'une restitution, mais la subordonnerait uniquement à l'observation de certaines modalités. L'intimé soutient que cette clause, en tant qu'elle viserait la restitution des avoirs confiés, ne peut lui être valablement opposée dans le cadre d'une convention de banque restante. Cette question peut rester indécise pour les raisons qui suivent. 4.1 Pour déterminer l'objet et le contenu d'un contrat, le juge doit recourir en premier lieu à l'interprétation subjective, c'est-à-dire rechercher la réelle et commune intention des parties.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arrêts cités; 135 III 295 consid. 5.2). 4.2 La banque soutient que l'art. 2.1 de ses conditions générales lui permet d'imposer des conditions particulières à certaines opérations, et notamment celle de n'exécuter des transferts de fonds que sur un compte nominatif de l'ayant-droit économique auprès d'une banque en France ou sur présentation d'éléments suffisants permettant d'établir la conformité des avoirs au regard du droit fiscal français. Une interprétation objective de la disposition litigieuse ne permet toutefois pas de retenir le sens proposé par l'appelante. En effet, cette clause ne mentionne pas expressément la restitution des avoirs confiés, laquelle ne saurait être réduite à une " opération ". L'intimé ne pouvait ainsi de bonne foi comprendre que la banque se réservait le droit de limiter son obligation de restitution ou de la soumettre à des conditions particulières, sans avoir à justifier sa décision. Par ailleurs, la validité d'une telle clause, qui limiterait fortement le droit du client à la restitution de ses avoirs, apparaîtrait en tout état de cause fortement douteuse, au vu du caractère impératif de l'art. 475 al. 1 CO (cf. arrêts du Tribunal fédéral 4A_168/2015 et 4A_170/2015 précités, au sujet de la condition imposée par la banque de conformité fiscale; cf. ég. Amadò, La sentenza del Tribunale federale n. 4A_168/2015 , in tema di restrizioni bancarie nei rapporti tra banche e clienti, NF 12/2015 p. 43 et note 40 p. 44). Le grief de l'appelante doit donc être rejeté. 5. L'appelante se prévaut également de l'art. 119 CO, exposant qu'elle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 rendrait complice de deux délits réprimés par le droit pénal français et violerait ainsi la garantie d'une activité irréprochable à laquelle elle est tenue en vertu des dispositions légales et règlementaires en matière bancaire. 5.1.1 Selon l'art. 119 al. 1 CO, l'obligation s'éteint lorsque l'exécution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 4C.344/2002 du 12 novembre 2003 consid. 4.2; 4C.43/2000 du 21 mai 2001 consid. 2e). 5.1.2 L'art. 3 al. 2 let. c LB relatif aux conditions d'autorisation de la banque à exercer son activité, en vigueur depuis le 1 er juillet 1971, stipule que l'autorisation est accordée lorsque les personnes chargées d'administrer et de gérer la banque jouissent d'une bonne réputation et présentent toutes garanties d'une activité irréprochable. Selon l'art. 3f LB, en vigueur depuis le 1 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 er février 1994 au 31 décembre 2014, prévoit que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au 1 er janvier 2015. 5.1.3 D'après l'art. 7 LFINMA, la FINMA adopte des ordonnances lorsque la législation sur les marchés financiers le prévoit et des circulaires afin de préciser les modalités d'application de la législation sur les marchés financiers. S'agissant des ordonnances établies par la FINMA, elles font partie intégrante du droit suisse dans la mesure où elles sont publiées au Recueil systématique (cf. par exemple l'Ordonnance sur les audits des marchés financiers, RS 956.161). Dans un rapport du 22 octobre 2010, intitulé " Position de la FINMA à propos des risques juridiques et de réputation dans le cadre des activités financières transfrontières ", la FINMA a indiqué qu'en droit fiscal et pénal, le risque existe qu'un intermédiaire financier ou ses employés se rendent coupables d'une participation sanctionnée pénalement (par exemple en tant que complice ou instigateur) à des délits fiscaux commis par des clients étrangers. Les actes de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 La loi de surveillance des marchés financiers (LFINMA, RS 956.1) ne prévoit ni directement ni explicitement une obligation pour les assujettis de respecter le droit étranger. […] La violation du droit étranger peut enfreindre certaines dispositions de surveillance suisses sujettes à interprétation, comme l'exigence de la garantie d'une activité irréprochable. Dans un projet de circulaire 2008/21 intitulé "Risques opérationnels-banques", dans sa version publiée le 1 er mars 2016, la FINMA a indiqué qu'elle s'attend notamment à ce que les banques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Le rapport d'audition mené sur le projet précité n'a à ce jour pas été publié sur le site internet de la FINMA. La circulaire 2008/21 actuelle publiée est la version antérieure au projet.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 Lombardini, Banques et clients en situation fiscale irrégulière : un état des lieux, Not@lex, Revue de droit privé et fiscal du patrimoine, 2/2015, pp. 33 ss, p. 45). 5.1.4 En droit français, la fraude fiscale est incriminée par l'art. 1741 du Code général des impôts français, qui dispose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500 000 € et d'un emprisonnement de cinq ans. En 1997, cette disposition légale avait une teneur similaire, bien que prévoyant des amendes moins importantes (source : legifrance.gouv.fr). Des circonstances aggravantes, introduites par la loi n° 2013-1117 du 6 décembre 2013, portent les peines à 2'000'000 €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 er janvier 2002 en 375'000 € d'amende (source : legifrance.gouv.fr). Dans le droit de l'Union européenne, la seule acceptation d'avoirs non fiscalisés peut être constitutive d'un acte de blanchiment, la banque et ses employés pouvant être attirés comme complices devant la juridiction compétente pour le client (cf. Lombardini, op. cit., p. 35 note 3). 5.2 En l'espèce, l'appelante reproche au Tribunal de ne pas avoir retenu que la notion de garantie d'une activité irréprochable était indéterminée et qu'elle devait être interprétée à la lumière des critères retenus par la FINMA, lesquels avaient récemment évolués. En outre, les circonstances aggravantes prévues par la loi française du 6 décembre 2013 visaient directement l'implication de banques suisses dans l'évasion fiscale par des contribuables français. La pratique des autorités françaises s'était au surplus durcie. Le droit français et sa mise en œuvre étaient ainsi devenus plus répressifs, ce qui constituait un changement justifiant l'application de l'art. 119 al. 1 CO. Force est toutefois de constater qu'aucune modification importante n'est survenue dans le cadre juridique bancaire suisse, ni dans les dispositions de droit pénales françaises invoquées par l'appelante depuis l'ouverture de la relation bancaire en juillet 1997. En effet, la législation bancaire suisse n'a introduit aucune disposition nouvelle prévoyant l'obligation explicite de respecter le droit étranger, ou plus particulièrement faisant interdiction aux banques suisses de transférer vers une autre relation bancaire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ses indications du 19 juin 2012 et le projet de circulaire publié le 1 er mars 2016, lequel n'est au demeurant pas (encore) entré en vigueur, d'après les informations accessibles sur son site internet, s'inscrivent dans un contexte de prise de conscience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 changé. Cette position de la FINMA ne peut ainsi constituer une modification juridique survenue postérieurement à la conclusion du contrat, qui rendrait impossible le respect de ce dernier. C'est par ailleurs en vain que l'appelante invoque ses directives internes.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1997. Certes, une modification a été apportée, par la loi n° 2013-1117 du 6 décembre 2013, à l'art. 1741 du Code général des impôts français. Toutefois, cette dernière ne vise que la peine menace de l'infraction réprimée, les faits constitutifs de la fraude fiscale restant inchangés. Ainsi, lors de l'ouverture du compte bancaire de l'intimé auprès de l'appelante, l'acceptation, la détention et la gestion des fonds litigieux pouvaient déjà être constitutives de complicité de fraude fiscale et de blanchiment d'argent selon le droit français. Dès lors que l'intimé est domicilié en France depuis le début de la relation bancaire, conclue en juillet 1997, toutes les opérations effectuées par la banque jusqu'à présent, soit pendant une période de plus de 19 ans, sont susceptibles de réaliser les conditions des art. 1741 du Code général des impôts français et 324-1 du Code pénale français. Aussi, même à admettre l'existence de risques pour la banque d'être poursuivie pénalement par les autorités françaises, les infractions précitées, à supposer qu'elles doivent être considérées comme réalisées, auraient déjà été consommées par l'appelante durant la relation bancaire. Dans ces circonstances, l'appelante ne peut se prévaloir de l'art. 119 al. 1 CO pour ne pas opérer le versement litigieux, le caractère subséquent de l'impossibilité invoquée faisant en tout état de cause défaut. 6. 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 6.1 Des instructions illicites ou contraires aux mœurs ne lient pas le mandataire, dès lors qu'en acceptant de telles instructions ce dernier conclurait un contrat nul (Werro, in Commentaire romand, Code des obligations I, 2 ème éd., 2012, n. 8 et 9 ad art. 397 CO). L'illégalité de l'instruction doit être appréciée au regard du droit suisse (ATF 80 II 47 ; 80 II 51 , JdT 1954 I 581 consid. 3; Lombardini, op. cit., p. 46; Engel, Traité des obligations en droit suisse, 1997, pp. 270 et ss). En droit suisse, le fait qu'un client, par ses instructions, indique qu'il ne veut pas régulariser sa situation fiscale n'entache pas ses instructions d'illégalité (Lombardini, op. cit., p. 32). 6.2 Au vu de ce qui précède, les instructions de l'intimé,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 7. L'appelante se prévaut de l'art. 19 LDIP pour admettre la prise en considération des lois françaises prohibant la fraude fiscale dans les rapports contractuels des parties. En exécutant l'ordre litigieux, elle courait le risque de poursuites pénales. 7.1 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La mise en œuvre de cette disposition suppose un jugement de valeur : l'intérêt à l'application de la norme impérative étrangère doit être digne de protection selon la conception suisse du droit et l'emporter manifestement sur l'intérêt à l'application de la lex causae . Conformément à l'art. 19 al. 2 LDIP,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 e éd., 2005, p. 200 n. 397a). L'application de l'art. 19 LDIP doit rester exceptionnelle de par sa ratio legis et ne vise que les personnes privées (ATF 130 III 620 , JdT 2004 I 555 consid. 3.5.1 et consid. 3.5.2; arrêt 5C.60/2004 du 8 avril 2005 consid. 3.1.2, non publié in ATF 131 III 418 ).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 ss).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 sous réserve d'accords internationaux, d'appliquer des règles de droit public étrangères à l'intérieur de ses frontières (ATF 131 III 418 consid. 3.2.1). Dans ce même arrêt, il a mentionné que le problème de la restitution à l'Etat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 de subir aux Etats-Unis où elle déployait des activités (ATF 130 III 620 ,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 principe d'un devoir de diligence des intermédiaires financiers en matière fiscale et l'obligation de refuser ou de résilier la relation d'affaires lorsqu'ils présument que les valeurs proposées ou déposées "n'ont pas été ou ne seront pas fiscalisée",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 d'argent (Obligations de diligence étendues pour empêcher l'acceptation de valeurs patrimoniales non fiscalisées) du 5 juin 2015, FF 2015 3799). 7.2 En l'espèce, il n'est pas établi que l'interdiction de fraude fiscale et/ou celle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comme l'a relevé à raison le Tribunal, jusqu'à très récemment, l'évasion fiscale était encore considérée comme insuffisante pour justifier une levée du secret bancaire.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 8. L'appelante invoque encore l'exception tirée de la clausula rebus sic stantibus . 8.1 Constitue une exception au principe de la fidélité contractuelle l'application de la clausula rebus sic stantibus .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 in SJ 2002 I 1; ATF 122 III 97 , JdT 1997 I 294 consid. 3a). 8.2 En l'espèce, l'appelante soutient que les modifications législatives et règlementaires initiées en 2010, ainsi que le durcissement de la législation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 (Emmenegger/Good, Der Einfluss ausländischer (Steuer-)Regulierung auf die Bank/Kunden-Beziehung : Welche Rechte haben Abschleicher?, in : Susan Emmenegger (Hrsg.), Verhaltensregeln, Bâle 2015, pp. 79 ss). Ce raisonnement ne peut être suivi. En effet,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 invoquées sur territoire suisse, ne saurait constituer une modification extraordinaire non prévisible justifiant l'intervention du juge dans le cadre du rapport contractuel liant les parties. Une telle intervention est d'autant moins justifiée que la banque a ouvert la relation bancaire et l'a entretenue pendant de nombreuses années, sans jamais se prévaloir de l'effet de la législation fiscale étrangère sur la relation contractuelle. 9. L'appelante soutient enfin que la requête de l'intimé constitue en tout état de cause un abus de droit, dans la mesure où ce dernier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 9.1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 9.2 En l'espèce, les arguments de l'appelante doivent être écartés. L'intimé a un intérêt légitime à récupérer l'argent confié à la banque par un versement dans son pays d'origine. Son comportement n'est constitutif d'aucun abus de droit. 10. Compte tenu de ce qui précède, il n'y a pas lieu d'examiner l'existence des risques de poursuites pénales invoqués par l'appelante. L'appel sera rejeté et le jugement entrepris confirmé. 11. Les frais judiciaires d'appel, arrêtés à 26'330 fr. (art. 17 et 35 RTFMC), seront mis à la charge de l'appelante, qui succombe (art. 95 al. 2 et 106 al. 1 CPC). Ils seront compensés avec l'avance de frais de même montant fournie par elle, qui reste acquise à l'Etat (art. 111 al. 1 CPC). L'appelante sera par ailleurs condamnée à verser à l'intimé la somme de 17'500 fr. à titre de dépens d'appel, débours compris (art. 84, 85 et 90 RTFMC, art. 25 et 26 LaCC), étant précisé que les prestations du conseil de l'intimé ne sont pas soumises à la TVA (arrêt du Tribunal fédéral 4A_623/2015 du 3 mars 2016). * * * * * PAR CES MOTIFS, La Chambre civile : A la forme : Déclare recevable l'appel interjeté le 11 avril 2016 par A______ contre le jugement JTPI/2446/2016 rendu le 19 février 2016 par le Tribunal de première instance dans la cause C/1538/2015-14. Au fond : Confirme ce jugement. Déboute les parties de toutes autres conclusions. Sur les frais : Arrête les frais judiciaires d'appel à 26'330 fr., les met à la charge de A______ et dit qu'ils sont compensés avec l'avance de frais, qui reste acquise à l'Etat de Genève. Condamne A______ à payer à B______ la somme de 17'500 fr.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