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C/15344/2019 vom 26. Mai 2021</w:t>
      </w:r>
    </w:p>
    <w:p>
      <w:r>
        <w:t>GE Cour de justice, 2021-05-26, FR</w:t>
      </w:r>
    </w:p>
    <w:p>
      <w:r>
        <w:rPr>
          <w:b/>
        </w:rPr>
        <w:t xml:space="preserve">Quelle: </w:t>
      </w:r>
      <w:r>
        <w:t>https://mcp.opencaselaw.ch/entscheid/ge_gerichte_C_15344_2019</w:t>
      </w:r>
    </w:p>
    <w:p>
      <w:r>
        <w:t>FR: GE_GERICHTE C/15344/2019 du 26 mai 2021</w:t>
      </w:r>
    </w:p>
    <w:p>
      <w:r>
        <w:t>IT: GE_GERICHTE C/15344/2019 del 26 maggio 2021</w:t>
      </w:r>
    </w:p>
    <w:p>
      <w:pPr>
        <w:pStyle w:val="Heading2"/>
      </w:pPr>
      <w:r>
        <w:t>Regeste</w:t>
      </w:r>
    </w:p>
    <w:p>
      <w:r>
        <w:t>CPC.325.al2</w:t>
      </w:r>
    </w:p>
    <w:p>
      <w:pPr>
        <w:pStyle w:val="Heading2"/>
      </w:pPr>
      <w:r>
        <w:t>Volltext</w:t>
      </w:r>
    </w:p>
    <w:p>
      <w:r>
        <w:t>Genf Cour de Justice (Cour civile) Chambre civile 26.05.2021 C/15344/2019 Genève Cour de Justice (Cour civile) Chambre civile 26.05.2021 C/15344/2019 Ginevra Cour de Justice (Cour civile) Chambre civile 26.05.2021 C/15344/2019</w:t>
      </w:r>
    </w:p>
    <w:p>
      <w:r>
        <w:t>C/15344/2019 ACJC/664/2021 du 26.05.2021 sur OTPI/325/2021 ( OO ) Normes : CPC.325.al2 Par ces motifs RÉPUBLIQUE ET CANTON DE GENÈVE POUVOIR JUDICIAIRE C/15344/2019 ACJC/664/2021 ARRÊT DE LA COUR DE JUSTICE Chambre civile DU MERCREDI 26 MAI 2021 Entre A______ LTD , sise ______, HONG KONG, recourante d'une ordonnance rendue par la 20ème Chambre du Tribunal de première instance de ce canton le 29 avril 2021, comparant par Me Hrant HOVAGEMYAN, avocat, Demole Hovagemyan, Boulevard du Théâtre 3 bis, Case postale 5740, 1211 Genève 11, en l'Étude duquel elle fait élection de domicile, et BANQUE B______ SA , sise ______ [GE], intimée, comparant par Me Carlo LOMBARDINI, avocat, Poncet Turrettini, Rue de Hesse 8-10, Case postale 5715, 1211 Genève 11, en l'Étude duquel elle fait élection de domicile. Vu, EN FAIT , l'ordonnance OTPI/325/2021 du 29 avril 2021 par laquelle le Tribunal de première (ci-après: le Tribunal) a condamné A______ LTD à fournir soit en espèces, soit sous forme de garantie d'une banque établie en Suisse ou d'une société d'assurance autorisée à exercer en Suisse, des sûretés en garantie des dépens d'un montant de 71'872 fr. (chiffre 1 du dispositif), fixé un délai de 30 jours à A______ LTD, à compter de la notification de l'ordonnance, pour déposer lesdites sûretés, soit en espèces auprès des Services financiers du Pouvoir judiciaire, soit sous forme de garantie auprès du Tribunal (ch. 2) et a statué sur les frais et dépens (ch. 3 et 4); Vu le recours formé par A______ LTD contre cette ordonnance, concluant à son annulation; Qu'à titre préalable, la recourante a conclu à l'octroi de l'effet suspensif; Que sur ce point, elle a allégué que si l'effet suspensif ne devait pas être accordé, elle devrait verser les sûretés fixées par le Tribunal, ce qui rendrait son recours sans objet et donc irrecevable; Que par ailleurs, le défaut du versement des sûretés entraînerait l'irrecevabilité de la demande, et par conséquent un préjudice difficilement réparable; Que l'intimée a conclu au rejet de la requête d'effet suspensif; Considérant, EN DROIT ,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la recourante; Qu'à l'inverse, l'octroi de l'effet suspensif n'entraînera pas de préjudice difficilement réparable pour l'intimée puisque la procédure au fond ne se poursuivra vraisemblablement pas devant le Tribunal tant que la question des sûretés n'aura pas été tranchée par la Cour; Qu'au vu de ce qui précède, la requête tendant à suspendre le caractère exécutoire de l'ordonnance attaquée sera admise. Qu'il sera statué sur les frais et dépens liés à la présente décision avec la décision au fond (art. 104 al. 3 CPC). * * * * * PAR CES MOTIFS, La Chambre civile : Statuant sur requête de suspension du caractère exécutoire de l'ordonnance entreprise : Admet la requête formée par A______ LTD tendant à suspendre le caractère exécutoire de l'ordonnance OTPI/325/2021 rendue le 29 avril 2021 par le Tribunal de première instance dans la cause C/15344/2019. Dit qu'il sera statué sur les frais liés à la présente décision dans l'arrêt rendu sur le fond. Siégeant : Madame Paola CAMPOMAGNANI, présidente; Madame Roxane DUCOMMUN,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