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C/15301/2017 vom 30. April 2019</w:t>
      </w:r>
    </w:p>
    <w:p>
      <w:r>
        <w:t>GE Cour de justice, 2019-04-30, FR</w:t>
      </w:r>
    </w:p>
    <w:p>
      <w:r>
        <w:rPr>
          <w:b/>
        </w:rPr>
        <w:t xml:space="preserve">Quelle: </w:t>
      </w:r>
      <w:r>
        <w:t>https://mcp.opencaselaw.ch/entscheid/ge_gerichte_C_15301_2017</w:t>
      </w:r>
    </w:p>
    <w:p>
      <w:r>
        <w:t>FR: GE_GERICHTE C/15301/2017 du 30 avril 2019</w:t>
      </w:r>
    </w:p>
    <w:p>
      <w:r>
        <w:t>IT: GE_GERICHTE C/15301/2017 del 30 aprile 2019</w:t>
      </w:r>
    </w:p>
    <w:p>
      <w:pPr>
        <w:pStyle w:val="Heading2"/>
      </w:pPr>
      <w:r>
        <w:t>Regeste</w:t>
      </w:r>
    </w:p>
    <w:p>
      <w:r>
        <w:t>ACTION EN PAIEMENT D'ENTRETIEN | CC.276.al2; CC.285.al1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rPr>
          <w:b/>
        </w:rPr>
        <w:t>E. 1.2</w:t>
      </w:r>
    </w:p>
    <w:p>
      <w:r>
        <w:t>Déposé selon la forme et dans le délai prescrits (art. 130, 131, 142 al. 1 et 311 al. 1 CPC) portant sur des conclusions patrimoniales qui, capitalisées selon l'art. 92 al. 2 CPC, sont supérieures à 10'000 fr., l'appel est recevable. L'écriture adressée par l'appelant à la Cour le 21 décembre 2018, soit postérieurement au délai d'appel, ne sera en revanche pas prise en compte, étant précisé que l'issue du litige ne s'en trouve pas modifiée, aucun grief nouveau n'ayant été soulevé dans ce cadre.</w:t>
      </w:r>
    </w:p>
    <w:p>
      <w:r>
        <w:rPr>
          <w:b/>
        </w:rPr>
        <w:t>E. 1.3</w:t>
      </w:r>
    </w:p>
    <w:p>
      <w:r>
        <w:t>La Cour revoit la cause en fait et en droit avec un plein pouvoir d'examen (art. 310 CPC) et applique les maximes inquisitoire et d'office illimitée dans la mesure où le litige concerne un enfant mineur (art. 55 al. 2, 58 al. 2 et 296 CPC). La maxime inquisitoire ne dispense toutefois pas les parties de collaborer activement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128 III 411 consid. 3.2.1; arrêt du Tribunal fédéral 5A_762/2013 du 27 mars 2014 consid. 4.1 et la référence citée).</w:t>
      </w:r>
    </w:p>
    <w:p>
      <w:r>
        <w:rPr>
          <w:b/>
        </w:rPr>
        <w:t>E. 2</w:t>
      </w:r>
    </w:p>
    <w:p>
      <w:r>
        <w:t>Les pièces nouvelles déposées par les parties en appel sont recevables, dès lors que la procédure porte exclusivement sur la contribution d'un parent à l'entretien d'un enfant mineur (ATF 144 III 349 consid. 4.2.1).</w:t>
      </w:r>
    </w:p>
    <w:p>
      <w:r>
        <w:rPr>
          <w:b/>
        </w:rPr>
        <w:t>E. 3</w:t>
      </w:r>
    </w:p>
    <w:p>
      <w:r>
        <w:t>L'appelant reproche au Tribunal d'avoir omis de prendre en considération certaines de ses charges et dépenses et d'avoir en conséquence fixé une contribution à l'entretien de l'intimé qui n'est pas en adéquation avec sa situation financière. 3.1.1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Cette contribution doit correspondre aux besoins de l'enfant ainsi qu'à la situation et aux ressources de ses père et mère (art. 285 al. 1 CC). L'entretien convenable de l'enfant va au-delà de ses besoins vitaux et dépend des besoins propres à chaque enfant. Il comprend ainsi également ce qui est en relation avec une activité sportive, artistique ou encore culturelle que l'enfant pratique, étant précisé que l'évaluation de ces besoins sera d'autant plus généreuse que la situation financière des parents le permet (Message du Conseil fédéral, FF 2014 554). 3.1.2 En matière de contribution à l'entretien de l'enfant, l'intangibilité du minimum vital du parent débirentier demeure et constitue la limite inférieure de l'entretien de l'enfant (FF 2014 541). Ce minimum vital se calcule en prenant comme point de départ le minimum vital au sens du droit des poursuites, lequel comprend les frais pour l'alimentation, les vêtements et le linge, y compris leur entretien, les soins corporels et de santé, l'entretien du logement, les frais culturels ainsi que les dépenses pour l'éclairage, le courant électrique ou le gaz pour la cuisine (montant à disposition selon les normes d'insaisissabilité découlant de la loi fédérale sur la poursuite pour dettes et la faillite). Il y a lieu d'y ajouter les charges liées au logement et au chauffage, à l'assurance-maladie, aux dépenses indispensables à l'exercice d'une profession (frais de transport et surcoûts de nourriture), aux frais d'instruction des enfants et aux frais médicaux non couverts par des assurances (normes d'insaisissabilité, RS/GE E.3.60.04). Le loyer d'une place de parc peut être pris en considération s'il est lié au bail principal ( ACJC/187/2016 du 12 février 2016 consid. 3.3.3; ACJC/1227/2014 du 10 octobre 2014 consid. 4.2.1). La doctrine admet la prise en compte, au titre des charges de deux enfants, d'une part du loyer à hauteur de 30% (BASTONS BULLETTI, L'entretien après divorce : méthodes de calcul, montant, durée et limites, in SJ 2007 II 77, note 140 p. 102). 3.1.3 L'obligation d'entretien envers un enfant mineur prime les autres obligations d'entretien du droit de la famille (art. 276a al. 1 CC). Conformément à la jurisprudence, lorsque plusieurs enfants ont droit à une contribution d'entretien, le principe de l'égalité de traitement doit être respecté (ATF 127 III 68 consid. 2c p. 70; 126 III 353 consid. 2b p. 357 et les arrêts cités). Ce principe vaut également lorsqu'un enfant naît d'un nouveau lit; celui-ci doit être financièrement traité de manière égale aux enfants d'un précédent lit au bénéfice de contributions d'entretien (arrêt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(arrêt 5A_829/2012 du 7 mai 2013 consid. 6.1; ATF 126 III 353 consid. 2b p. 357 et les références). Lorsque les capacités financières du débirentier sont modestes comparativement au nombre d'enfants créanciers d'aliments, il convient de prendre comme point de départ son minimum vital au sens du droit des poursuites, duquel il faut retrancher les charges qui font partie du minimum vital des enfants (montants de base, part du loyer et primes d'assurance-maladie), ainsi que les contributions d'entretien dues à d'autres enfants en vertu d'un jugement de divorce (ATF 127 III 68 consid. 2c p. 70; arrêts 5A_352/2010 du 29 octobre 2010 consid. 6.2.1). 3.2.1 C'est en l'espèce à juste titre que le premier juge a considéré que l'appelant devait assumer son obligation d'entretien par des contributions financières, dès lors que la mère pourvoit aux soins et à l'éducation de l'enfant au quotidien. 3.2.2 Les besoins de l'enfant B______ n'ont pas été critiqués en appel et représentent 944 fr. par mois, allocations familiales non déduites. 3.2.3 L'appelant reproche au Tribunal de n'avoir pas tenu compte de certaines dépenses importantes. Au titre de loyer, le Tribunal a retenu un montant de 1'901 fr. dans les charges de l'appelant. Les baux relatifs à l'appartement et au parking étant indissociablement liés, il convient de prendre également en compte le loyer du parking de 160 fr., de sorte qu'un montant de 2'061 fr. sera retenu à ce titre. Dans l'optique de garantir la priorité des obligations alimentaires de l'enfant mineur et l'égalité de traitement entre les différents enfants mineurs d'un débiteur d'aliments, cette charge sera répartie dans les dépenses de l'appelant et des autres membres de sa famille, à raison d'une part de 721 fr. (35% du loyer) pour l'appelant, d'une part de même montant pour son épouse, et de 309 fr. (15% du loyer) pour chacun de leurs deux enfants. C'est à juste titre que le Tribunal a écarté les frais de véhicule privé de l'appelant, qui n'a pas démontré que l'utilisation d'une voiture lui était nécessaire dans le cadre de l'exercice de son activité professionnelle. Il ne sera par ailleurs pas tenu compte de la prime d'assurance ménage et responsabilité civile, qui n'est pas une charge incompressible au sens des normes d'insaisissabilité. L'appelant se prévaut enfin de ce qu'il a des enfants qui suivent des études universitaires à ______ (Congo). Il ne démontre toutefois pas être tenu à des obligations alimentaires à l'égard d'autres enfants mineurs que ceux mentionnés dans la présente procédure, de sorte qu'aucune charge sera retenue à ce titre. Les charges incompressibles de l'appelant s'élèvent en conséquence à 2'088 fr., comprenant sa part de loyer (721 fr.), sa cotisation d'assurance-maladie (350 fr.), ses frais de transports publics (70 fr.), ses impôts (97 fr.) et le montant de base OP (850 fr.). Celles de son épouse sont de 1'958 fr. comprenant sa part de loyer (721 fr.), sa cotisation d'assurance-maladie (387 fr.), et le montant de base OP (850 fr.). Les charges relatives à ses enfants H______ et I______ comprennent leur participation au loyer (309 fr.), le montant de base OP de 400 fr. et leur cotisation d'assurance-maladie de respectivement 124 et 123 fr. représentant ainsi 833 fr. et 832 fr. au total, soit 533 fr. et 532 fr. après déduction des allocations familiales. Il n'y a pas lieu de tenir compte des frais encourus par l'appelant à hauteur de 38 fr. par mois pour le jardin d'enfants que fréquente sa fille H______, qui ne constituent pas des charges incompressibles dès lors que son épouse n'exerce pas d'activité lucrative pour se consacrer à la prise en charge de ses enfants. 3.2.4 Les intimés font valoir qu'en sa qualité d'employé de la L______, l'appelant bénéficie d'un 13 ème salaire dont le premier juge n'a pas tenu compte. Il ressort en effet du Statut du personnel de la L______ qu'un 13 e salaire est versé aux employés à concurrence de la moitié d'un salaire mensuel dès la première année de leur engagement, de sorte que le revenu mensuel moyen de l'appelant sera retenu à hauteur de 5'800 fr. (5'600 fr. x 12.5 mois = 70'000 fr. / 12 mois). 3.2.5 L'intimée allègue qu'elle a subi une diminution de ses revenus à compter du mois d'août 2018 en raison d'une embolie pulmonaire dont elle a été victime en juin 2018. Elle n'établit toutefois pas que ces problèmes de santé l'auraient contrainte à diminuer son taux d'activité à 60%, de sorte qu'il convient de retenir, à l'instar du Tribunal, que ses revenus lui permettent de couvrir ses charges incompressibles et de bénéficier d'un solde de l'ordre de 1'900 fr. pour assumer l'entretien de sa fille F______ et la moitié de l'entretien de E______, soit 820 fr. au total. 3.2.6 En définitive, les revenus de 5'800 fr. que l'appelant tire de son activité professionnelle lui permettent de disposer, après couverture de son minimum vital de 2'088 fr., d'un montant de 3'712 fr. pour faire face à ses obligations alimentaires à l'égard de son épouse et de ses trois enfants mineurs. Les charges de ces derniers représentent respectivement 1'958 fr., 533 fr., 532 fr. et 644 fr. pour B______, soit 3'667 fr. au total. La contribution à l'entretien de B______ fixée à 600 fr. par le Tribunal apparaît ainsi conforme à la situation financière de l'appelant, dont le minimum vital est préservé, à celle de l'intimée qui bénéficie d'un disponible après couverture de son minimum vital pour assumer une part de l'entretien de l'enfant, ainsi qu'au principe de l'égalité de traitement entre les trois enfants mineurs de l'appelant. Le jugement entrepris sera en conséquence confirmé.</w:t>
      </w:r>
    </w:p>
    <w:p>
      <w:r>
        <w:rPr>
          <w:b/>
        </w:rPr>
        <w:t>E. 4</w:t>
      </w:r>
    </w:p>
    <w:p>
      <w:r>
        <w:t>Les frais judiciaires d'appel, arrêtés à 960 fr., seront répartis par moitié à charge de l'appelant et des intimés (art. 95 ss et 107 al. 1 lit. c CPC; art. 30 et 31 RTFMC). Ils sont provisoirement supportés par l'Etat de Genève, les parties plaidant au bénéfice de l'assistance judiciaire (art. 122 et 123 al. 1 CPC). Chaque partie assume ses propres dépens d'appel (art. 107 al. 1 lit. c CPC). * * * * * PAR CES MOTIFS, La Chambre civile : A la forme : Déclare recevable l'appel interjeté par A______ contre les chiffres 4, 7 et 9 du jugement JTPI/12322/2018 rendu le 15 août 2018 par le Tribunal de première instance dans la cause C/15301/2017-8. Au fond : Confirme ce jugement. Déboute les parties de toutes autres conclusions. Sur les frais : Arrête les frais judiciaires d'appel à 960 fr., les répartit par moitié à charge de A______ d'une part, et de B______ et C______ d'autre part, et dit qu'ils sont provisoirement supportés par l'Etat de Genève. Dit que chaque partie assume ses propres dépens d'appel. Siégeant : Madame Ursula ZEHETBAUER GHAVAMI, présidente; Madame Sylvie DROIN et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