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C/15084/2002 vom 21. September 2004</w:t>
      </w:r>
    </w:p>
    <w:p>
      <w:r>
        <w:t>GE Cour de justice, 2004-09-21, FR</w:t>
      </w:r>
    </w:p>
    <w:p>
      <w:r>
        <w:rPr>
          <w:b/>
        </w:rPr>
        <w:t xml:space="preserve">Quelle: </w:t>
      </w:r>
      <w:r>
        <w:t>https://mcp.opencaselaw.ch/entscheid/ge_gerichte_C_15084_2002</w:t>
      </w:r>
    </w:p>
    <w:p>
      <w:r>
        <w:t>FR: GE_GERICHTE C/15084/2002 du 21 septembre 2004</w:t>
      </w:r>
    </w:p>
    <w:p>
      <w:r>
        <w:t>IT: GE_GERICHTE C/15084/2002 del 21 settembre 2004</w:t>
      </w:r>
    </w:p>
    <w:p>
      <w:pPr>
        <w:pStyle w:val="Heading2"/>
      </w:pPr>
      <w:r>
        <w:t>Regeste</w:t>
      </w:r>
    </w:p>
    <w:p>
      <w:r>
        <w:t>CONTRAT INDIVIDUEL DE TRAVAIL; AVIATION CIVILE ; PERSONNEL AÉRONAUTIQUE ; ACTION EN CONSTATATION; CONDITION DE RECEVABILITÉ ; LÉGITIMATION ACTIVE ET PASSIVE; CESSION D'UN PATRIMOINE OU D'UNE ENTREPRISE ; PRINCIPE DE LA CONFIANCE(INTERPRÉTATION DU CONTRAT) ; SURSIS CONCORDATAIRE ; GROUPE DE SOCIÉTÉS ; PLAN SOCIAL; CONVENTION COLLECTIVE DE TRAVAIL; RETRAITE ANTICIPÉE ; VERSEMENT ANTICIPÉ ; IMPUTATION DES AVANTAGES ; MOTIVATION DE LA DEMANDE ; MAXIME INQUISITOIRE ; IMPOSSIBILITÉ OBJECTIVE ; ÉGALITÉ DE TRAITEMENT ; DOMMAGE FUTUR ; ÉMOLUMENT DE JUSTICE | E réduit drastiquement ses frais de personnel et met une partie de ses employés, dont T en pré-retraite, moyennant un plan social établi à cette occasion. L'action constatatoire de T est recevable, s'agissant des prétentions futures, non encore échues. Le plan social avait été initialement conclu par A. La société a ensuite créé une filiale, E, reprenant l'ensemble du service de restauration en cours de vol de A. Il s'agit d'un transfert d'entreprise, aussi, les droits et obligations d'A vis-à-vis de ses employés sont automatiquement passés à E, laquelle était tenue d'appliquer le plan social conclu par A. Il résulte du texte clair du courrier adressé par E à T en vue de sa mise en pré-retraite que celle-ci est débitrice des prestations dues en vertu du plan social d'A. Le fait que T ait également produit sa créance dans la procédure de sursis concordataire de C ne lui enlève pas sa qualité de débitrice. Il n'est au surplus pas exclu que C porte une responsabilité solidaire, question que la Cour n'a pas à trancher en l'espèce. Conformément au plan social, T a droit au versement d'un "pont AVS" jusqu'à l'âge auquel il aurait normalement dû percevoir sa retraite et non jusqu'au moment, antérieur, où il a perçu sa retraite anticipée. Des conditions supplémentaires, inexistantes dans le plan social ou dans le courrier annonçant l'application du plan social à T, ne sauraient être ajoutées, T n'y ayant pas consenti. Les lettres que C, société mère actuellement en sursis concordataire, a adressées aux employés d'E lient cette dernière, dans la mesure où les salaires des employés d'E ont toujours été versés par C, jusqu'à sa mise en sursis concordataire. E se voit ainsi opposer le fait qu'elle a délégué une partie de ses obligations d'employeur à sa société mère. La Cour effectue le calcul des prestations échues et non échues dues à T. On ne saurait imputer sur ces montants les rentes versées de manière anticipée par la Caisse de retraite à T. En effet, cette caisse n'est pas venue se substituer à E dans ses obligations, mais a effectué ses prestations en vertu d'une obligation qui lui est propre. Par ailleurs, le plan social ne prévoit pas d'imputation de la rente sur les montants à verser, mais uniquement celle d'un éventuel revenu supplémentaire engendrant un cumul de prestations dépassant l'ancien salaire de T. De plus, le plan social avait pour but de compenser la diminution des prestations versées à T en raison de sa mise à la retraite anticipée. T ne peut réclamer à E ni le paiement des mensualités non échues à ce jour avant leur échéance respective, ni le montant capitalisé de celles-ci à titre de dommages-intérêts. T ne peut pas non plus réclamer la perte sur la rente de veuve de son épouse; il s'agit d'un dommage futur potentiel, qui serait subi par un tiers, dont il ne peut réclamer la réparation anticipée. | CO.18; CO.97; CO.102; CO.109; CO.333; CO.343; LJP.1; LJP.11; LJP.15; LJP.20; LJP.29; LJP.59; LPC.5; LPC.7</w:t>
      </w:r>
    </w:p>
    <w:p>
      <w:pPr>
        <w:pStyle w:val="Heading2"/>
      </w:pPr>
      <w:r>
        <w:t>Erwägungen</w:t>
      </w:r>
    </w:p>
    <w:p>
      <w:r>
        <w:rPr>
          <w:b/>
        </w:rPr>
        <w:t>E. 2</w:t>
      </w:r>
    </w:p>
    <w:p>
      <w:r>
        <w:t>Prestations versées par A_______</w:t>
      </w:r>
    </w:p>
    <w:p>
      <w:r>
        <w:rPr>
          <w:b/>
        </w:rPr>
        <w:t>E. 2.1</w:t>
      </w:r>
    </w:p>
    <w:p>
      <w:r>
        <w:t>Prestations de base Du 01.11.1996 au 31.10.2001, A_______ vous versera une prestation mensuelle correspondant à 70% de votre dernier salaire mensuel (Fr. 6'615.-) = Fr. 4'630,50</w:t>
      </w:r>
    </w:p>
    <w:p>
      <w:r>
        <w:rPr>
          <w:b/>
        </w:rPr>
        <w:t>E. 2.2</w:t>
      </w:r>
    </w:p>
    <w:p>
      <w:r>
        <w:t>Versement transitoire 1 Du 01.11.2001 au 30.4.2002, A_______ vous versera une prestation mensuelle correspondant à 50% de votre dernier salaire mensuel (fr. 6'615.-) = fr. 3’307,50 Ce versement sera effectué 12 fois par an (pas de 13 ème salaire).</w:t>
      </w:r>
    </w:p>
    <w:p>
      <w:r>
        <w:rPr>
          <w:b/>
        </w:rPr>
        <w:t>E. 2.3</w:t>
      </w:r>
    </w:p>
    <w:p>
      <w:r>
        <w:t>Versement transitoire 2 : « pont AVS » depuis le début de la rente de B_____ jusqu’à l’âge de la retraite AVS Durant la période du 01.05.2002 (début de la retraite B_____) jusqu’au 31.08.2005, A_______ vous versera mensuellement un montant de fr. 1’940.--. Ce versement sera également effectué 12 fois par an.</w:t>
      </w:r>
    </w:p>
    <w:p>
      <w:r>
        <w:rPr>
          <w:b/>
        </w:rPr>
        <w:t>E. 2.4</w:t>
      </w:r>
    </w:p>
    <w:p>
      <w:r>
        <w:t>Primes de B________ Depuis la date de votre départ à la retraite (01.11.1996) et jusqu’à la date de votre retraite anticipée B_____ (01.05.2002), A_______ prend en charge la totalité des primes sur le dernier salaire assuré (participations employeur et employé) de la caisse générale de prévoyance.</w:t>
      </w:r>
    </w:p>
    <w:p>
      <w:r>
        <w:rPr>
          <w:b/>
        </w:rPr>
        <w:t>E. 2.5</w:t>
      </w:r>
    </w:p>
    <w:p>
      <w:r>
        <w:t>Jubilés En cas de retraite dans le cadre de mesures de redimensionnement, les personnes concernées ayant plus de 20 ans de service reçoivent le cadeau d’ancienneté payé au prorata. Depuis votre dernier jubilé (30 ans de service au 01.10.1003), vous aurez effectué 36 mois de présence jusqu’au 31.10.1996. Vous recevrez ainsi le 36/60 ème de fr. 6’1615.-, donc fr. 3'969.- avec votre dernier salaire.</w:t>
      </w:r>
    </w:p>
    <w:p>
      <w:r>
        <w:rPr>
          <w:b/>
        </w:rPr>
        <w:t>E. 3</w:t>
      </w:r>
    </w:p>
    <w:p>
      <w:r>
        <w:t>Retraite avec réduction de rente au 1 er mai 2005 Ainsi que cela a été convenu avec vous, votre départ en retraite régulière selon « option 96 » sera avancé de 16 mois. Selon le règlement de B_____, une prestation réduite vous sera versée mensuellement dès le 01.05.2002. Son montant sera confirmé à temps par l’institution de prévoyance.</w:t>
      </w:r>
    </w:p>
    <w:p>
      <w:r>
        <w:rPr>
          <w:b/>
        </w:rPr>
        <w:t>E. 4</w:t>
      </w:r>
    </w:p>
    <w:p>
      <w:r>
        <w:t>Assurances et impôts</w:t>
      </w:r>
    </w:p>
    <w:p>
      <w:r>
        <w:rPr>
          <w:b/>
        </w:rPr>
        <w:t>E. 4.1</w:t>
      </w:r>
    </w:p>
    <w:p>
      <w:r>
        <w:t>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 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STREIFF VON KAENEL, Arbeitsvertrag, n° 7 ad art. 333 CO; BRAND et alii., Der Einzelarbeitsvertrag im Obligationenrecht, n° 1, 10 et 12 ad art. 333 CO; TSCHUDI, Probleme bei der Abgangsentschädigung, in Wur 1980, p. 241; KNUS, Betriebsübergang und Arbeitsverhältnis nach schweizerischem Recht, thèse Zürich 1978, p. 28 et ss). 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vol. VII/1, III, p. 154, note 2; AUBERT, La nouvelle réglementation des licenciements collectifs et des transferts d'entreprises, in Journée 1994 de droit du travail et de la sécurité sociale, Zurich 1995, p. 87ss, 110). Contrairement à la solution prévalant sous l'ancien droit, en cas de transfert d'entreprise, les rapports de travail existant au moment du transfert passent automatiquement à l'acquéreur, même contre le gré de ce dernier (ATF 123 III 466 consid. 3b p. 468 et les références).</w:t>
      </w:r>
    </w:p>
    <w:p>
      <w:r>
        <w:rPr>
          <w:b/>
        </w:rPr>
        <w:t>E. 4.2</w:t>
      </w:r>
    </w:p>
    <w:p>
      <w:r>
        <w:t>En l’espèce, E_______, après sa création en 1992, a repris tant l’exploitation que le personnel du service « catering » de  A_______, soit une partie de l’entreprise A_______; elle est, partant liée, en application de l’art. 333 CO, par les conditions auxquelles sont soumis les contrats de travail des employés de ce service, dont elle est devenue l’employeur dès le 1 er janvier 1993. C’est dans ce contexte que l’accord portant sur la préretraite de T_______ a été conclu par les parties.</w:t>
      </w:r>
    </w:p>
    <w:p>
      <w:r>
        <w:rPr>
          <w:b/>
        </w:rPr>
        <w:t>E. 4.3</w:t>
      </w:r>
    </w:p>
    <w:p>
      <w:r>
        <w:t>Impôts Les prestations versées par E_______ et A_______ doivent être déclarées en tant que revenu, elles ne sont pas considérées comme une rente. Selon les prescriptions cantonales, il est éventuellement possible de demander une taxation intermédiaire. Nous vous recommandons de vous mettre en rapport avec le bureau de contributions de votre domicile.</w:t>
      </w:r>
    </w:p>
    <w:p>
      <w:r>
        <w:rPr>
          <w:b/>
        </w:rPr>
        <w:t>E. 5</w:t>
      </w:r>
    </w:p>
    <w:p>
      <w:r>
        <w:t>Remarques générales</w:t>
      </w:r>
    </w:p>
    <w:p>
      <w:r>
        <w:rPr>
          <w:b/>
        </w:rPr>
        <w:t>E. 5.1</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Gauch, Schluep, Tercier , Partie générale du droit des obligations, n° 835 et ss). Les clauses obscures ou ambiguës sont interprétées en défaveur de leur rédacteur (interprétation "contra stipulatorem"; ATF 87 II 234 = JdT 1962 I 206).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 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rPr>
          <w:b/>
        </w:rPr>
        <w:t>E. 5.2</w:t>
      </w:r>
    </w:p>
    <w:p>
      <w:r>
        <w:t>En l’espèce, par courrier du 4 juillet 1996 établi à son en-tête et signé par deux personnes ayant qualité pour l’engager, E_______ a informé T_______ des modalités de la retraite anticipée dont il allait bénéficier dès le 1 er novembre 1996. T_______ a admis en avoir accepté les termes. Il s’agit là d’un accord contractuel portant sur la fin des rapports de travail, admissible au regard de l’art. 335 CO, aux termes duquel il est mis fin aux relations de travail dès le 1 er novembre 1996, moyennant paiement de diverses prestations mensuelles jusqu’à l’âge de la retraite légale. S’agissant du débiteur des prestations convenues, le texte du courrier de E_______ à T_______ du 4 juillet 1996 est ambigu. En effet, d’une part, il est indiqué que les prestations promises seront versées par A_______. D’autre part, toutefois, au chiffre 4.3, sous la rubrique « impôts » il est fait état des prestations « versées par G_______ et A_______», ce qui laisse entendre que les mensualités promises seront servies à T_______ non seulement par A_______, mais également par E_______. Compte tenu de cette ambiguïté, le sens de ce courrier doit être établi en fonction de son but et des circonstances dans lesquelles il a été établi. D’une part, ce courrier fait référence au plan « option 96 », et les prestations promises à T_______ correspondent bien à celles de ce plan social, adopté par A_______ en amélioration du plan social 1995, sous la forme d’une convention collective de travail engageant cette dernière. Cette circonstance est toutefois sans incidence sur la qualité de débitrice de E_______ si celle-ci s’est engagée à les fournir aux termes du courrier du 4 juillet 1996. Or, comme indiqué ci-dessus, la convention conclue se qualifie comme un accord entre employeur et employé sur les modalités de la fin du rapport de travail; or, en cas de retraite anticipée, c’est usuellement l’employeur qui assume les prestations de préretraite prévues et T_______ ne pouvait ni ne devait le comprendre autrement. Ce courrier ne précise d’ailleurs pas de manière suffisamment explicite pour admettre l’existence d’une reprise de dette extinctive, que les obligations de l’employeur sont reprises, de manière exclusive, par A_______. Peu importe, à cet égard, qu’il soit indiqué que les prestations promises lui seraient versées par A_______ et que les montants versés en exécution de l’accord conclu, aient effectivement été opérés par A_______, puis C_______, au moyen de fonds spécialement prévus par cette dernière à cet effet. En effet, d’une part, l’exécution par un tiers d’une obligation contractuelle est licite; d’autre part, il a été confirmé lors des enquêtes que, d’une manière générale, c’est C_______ qui tenait la comptabilité des filiales et qui s’occupait du versement des salaires des employés au sol « filialisés », les différentes filiales étant identifiées dans sa propre comptabilité par un code chiffré (décl. N_____). Ainsi, en versant à T_______ les prestations promises, A_______ et ultérieurement C_______ ont ici agi en qualité soit d’auxiliaire de E_______, soit de codébiteur solidaire de cette dernière. Ainsi, le courrier de E_______ du 4 juillet 1996, interprété selon le principe de la confiance, emporte l’obligation de E_______ de verser les prestations promises à T_______, à tout le moins comme co-débiteur solidaire, sans qu’il soit nécessaire de fonder sa légitimation passive sur les dispositions régissant le porte-fort, ou encore d’admettre une responsabilité fondée sur la confiance. E_______ ne saurait tirer argument du fait que T_______ a produit sa créance dans le sursis concordataire de C_______. D’une part en effet, T_______ a été, à l’instar des autres préretraités du groupe, formellement invité à produire dans ledit sursis par courrier du 1 er novembre 2001 qui lui a été adressé par C_______; d’autre part, au vu de la contestation, par E_______, de sa qualité de débitrice et face à l’incertitude juridique qui en découlait, on ne peut reprocher à T_______ d’avoir voulu sauvegarder ses droits en produisant sa créance dans le sursis concordataire C_______ (débitrice alléguée par E_______), il n’est par ailleurs pas exclu que cette dernière revête la qualité de débitrice solidaire, s’agissant des prestations promises à T_______, question que la Cour n’a toutefois pas à trancher. E_______ ne peut par ailleurs se prévaloir du fait que T_______ a sollicité, sans l’obtenir, une aide du SECO, dans le cadre des mesures réservées aux créanciers de C_______, ceci pour tenter de diminuer son dommage. Au vu de ce qui précède, les premiers juges ont avec raison admis la légitimation passive de E_______.</w:t>
      </w:r>
    </w:p>
    <w:p>
      <w:r>
        <w:rPr>
          <w:b/>
        </w:rPr>
        <w:t>E. 6</w:t>
      </w:r>
    </w:p>
    <w:p>
      <w:r>
        <w:t>E_______ soutient encore que plus aucune prestation n’est due, dans la mesure où T_______ a perçu de manière anticipée sa rente B_____. A ses yeux, le plan de préretraite prévu était destiné à assurer le niveau de vie des employés antérieur à la résiliation des rapports de travail jusqu’au versement de la rente LPP. La Cour ne saurait suivre cet avis.</w:t>
      </w:r>
    </w:p>
    <w:p>
      <w:r>
        <w:rPr>
          <w:b/>
        </w:rPr>
        <w:t>E. 6.1</w:t>
      </w:r>
    </w:p>
    <w:p>
      <w:r>
        <w:t>Il résulte en effet clairement du texte du courrier du 4 juillet 1996 que les prestations de préretraite devaient être versées à T_______ non jusqu’au moment où il percevrait les prestations de B_____, mais jusqu’à l’âge normal de la retraite. En effet, selon ce courrier, le versement anticipé de la rente LPP intervient le 1 er mai 2002, soit de manière anticipée d’une année et quatre mois par rapport au début de la rente LPP réglementaire, alors que T_______ n’atteint l’âge de la retraite normale que le 1 er septembre 2005. Or, durant cette période, soit du 1 er mai 2002 au 1 er septembre 2005, T_______ peut prétendre au « versement transitoire » ou « pont AVS » prévu au chiffre 2.3 de ce courrier. Ces modalités sont conformes à ce qui est prévu à l’art. 8.3 litt. b) chiffre 2 du plan social « option 96 »; cette disposition prévoit en effet, ce qui résulte également des schémas d’application annexés audit plan social, qu’un « versement transitoire 2 », correspondant au montant d’une rente AVS simple, est dû à l’employé dès qu’il perçoit, de manière anticipée, les prestations de B_____ et jusqu’à ce qu’il atteigne l’âge normal de la retraite.</w:t>
      </w:r>
    </w:p>
    <w:p>
      <w:r>
        <w:rPr>
          <w:b/>
        </w:rPr>
        <w:t>E. 6.2</w:t>
      </w:r>
    </w:p>
    <w:p>
      <w:r>
        <w:t>E_______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tant dans le courrier du 4 juillet 1996 que dans le plan social de C_______ option 1996/2000. E_______ ne saurait enfin s’appuyer sur le texte du courrier adressé à toutes les préretraitées du groupe en novembre 2000, aux termes duquel C_______ les informe que le plan de préretraite est prolongé pour tenir compte de l’augmentation de l’âge de la retraite des femmes et qu’il sera tenu compte de toute prestation versée par l’AI ou une autre assurance. Tout au plus, le chiffre 5.1 du courrier du 4 juillet 1996 réserve la possibilité de « réduire » la prestation promise, lorsque le préretraité exerce une activité lucrative lui rapportant cumulé, avec la prestation de préretraite, un montant supérieur à son dernier salaire, circonstance non réalisée en l’espèce. Les engagements résultant du courrier de E_______ du 4 juillet 1996, ne sont dès lors pas caducs du simple fait que T_______ a perçu de manière anticipée une rente de B_____.</w:t>
      </w:r>
    </w:p>
    <w:p>
      <w:r>
        <w:rPr>
          <w:b/>
        </w:rPr>
        <w:t>E. 6.3</w:t>
      </w:r>
    </w:p>
    <w:p>
      <w:r>
        <w:t>C’est le lieu de préciser que la dette de E_______ n’est amoindrie ni par la production de la créance de T_______ dans le concordat de C_______, ni par son admission à l’état de collocation. Seul un paiement dans le cadre de celui-ci, libérerait E_______ à due concurrence. Or, il n’est pas allégué qu’un tel versement serait intervenu à ce jour. Partant, point n’est besoin de donner suite aux conclusions préparatoires de E_______, tendant à l’apport de pièces.</w:t>
      </w:r>
    </w:p>
    <w:p>
      <w:r>
        <w:rPr>
          <w:b/>
        </w:rPr>
        <w:t>E. 7</w:t>
      </w:r>
    </w:p>
    <w:p>
      <w:r>
        <w:t>Il résulte de ce qui précède que E_______ est en demeure de verser à T_______ les prestations prévues, impayées et échues jusqu’à la date du présent arrêt. Celles-ci représentent : - fr. 3'307.50 par mois du 01.12. 2001 au 30.04.2002, (5X), soit fr. 16'537.50; - fr. 1'940.- par mois du 01.05.2002 au 31.08.2004 (28X), soit fr. 54'320.-; pour un total fr. 70'857.50, étant rappelé que s’agissant d’un substitut de salaire, les mensualités sont échues à la fin du mois courant. Ce montant porte intérêts moratoires à 5% l’an dès le 15 avril 2003, date moyenne. Ces sommes s’entendent net, les cotisations AVS y relatives devant, aux termes du courrier du 4 juillet 1996, être supportées par T_______.</w:t>
      </w:r>
    </w:p>
    <w:p>
      <w:r>
        <w:rPr>
          <w:b/>
        </w:rPr>
        <w:t>E. 8</w:t>
      </w:r>
    </w:p>
    <w:p>
      <w:r>
        <w:t>T_______ réclame également la condamnation de E_______ à lui verser, à titre de dommages-intérêts, le montant capitalisé des prestations mensuelles à échoir dès la date du présent arrêt jusqu’au 1er août 2008.</w:t>
      </w:r>
    </w:p>
    <w:p>
      <w:r>
        <w:rPr>
          <w:b/>
        </w:rPr>
        <w:t>E. 8.1</w:t>
      </w:r>
    </w:p>
    <w:p>
      <w:r>
        <w:t>Sous la note marginale « Inexécution », l’art. 97 al. 1 CO prévoit que lorsque le créancier ne peut obtenir l’exécution de l’obligation ou ne peut l’obtenir qu’imparfaitement, le débiteur est tenu de réparer le dommage en résultant, à moins qu’il ne prouve qu’aucune faute ne lui est imputable. L’al. 2 du même article renvoie à la LP, s’agissant de la procédure d’exécution. Cette disposition, qui figure en tête du chapitre consacré à l’inexécution des obligations, est le fondement de l’exécution par équivalent, à savoir sous la forme de dommages-intérêts. Elle constitue d’une part le fondement de l’indemnité que peut réclamer le créancier qui « ne peut obtenir l’exécution de l’obligation ou ne peut l’obtenir qu’imparfaitement » par la faute de son débiteur, cette faute étant d’ailleurs présumée. Elle constitue dès lors la base légale d’une prétention à des dommages-intérêts, à l’instar des art. 98 al. 1 et 22, 101 al. 1, 103 al. 1, 107 al. 2 et 109 al. 2 CO, dont elle doit toutefois être distinguée. Cette disposition a par ailleurs une portée générale, en tant qu’elle énonce les conditions générales de la responsabilité contractuelle et constitue dès lors une base légale subsidiaire en matière de responsabilité (THEVENOZ, in WERRO/THEVENOZ, Commentaire romand, no 1/3 ad art. 97 CO). L’allocation de dommages-intérêts au sens de l’art. 97 al. 1 CO présuppose une impossibilité d’exécution objective subséquente, définitive ou à tout le moins durable, imputable au débiteur. Une telle impossibilité transforme ex jure la créance promise (qui est alors éteinte) en créance de dommages-intérêts, au contraire de la demeure (art. 102/109 CO), qui aggrave la position du débiteur en laissant subsister l’obligation en souffrance (THEVENOZ, ibidem, no 5/7 ad art. 97 CO). Est assimilée à une telle impossibilité d’exécution l’exécution imparfaite et la violation positive du contrat. L’exécution d’une dette d’argent, comme celle d’une dette de genre, n’est jamais impossible (THEVENOZ, ibidem, no 17 ad art. 97 CO et réf. citées).</w:t>
      </w:r>
    </w:p>
    <w:p>
      <w:r>
        <w:rPr>
          <w:b/>
        </w:rPr>
        <w:t>E. 8.2</w:t>
      </w:r>
    </w:p>
    <w:p>
      <w:r>
        <w:t>La demeure du débiteur, au sens des art. 102 et sv CO n’entraîne pas ipso jure la transformation de la créance promise en dommages-intérêts. Dès que la créance est devenue exigible, en raison d’un terme fixe ou d’une interpellation du créancier, le créancier peut ouvrir action en exécution et/ou utiliser les voies de l’exécution forcée; la demeure ne suspend aucune de ces possibilités, sauf lorsque le créancier, en application des art. 107 à 109 CO, a choisi de renoncer à la prestation ou de résoudre le contrat (THEVENOZ, ibidem , no 2 ad art. 102 CO). Ainsi, la demeure non imputable à la faute au débiteur fait courir l’intérêt moratoire et, dans les contrats synallagmatiques parfaits, donne au créancier le droit formateur de renoncer à l’exécution du contrat, ou de le résoudre. La demeure imputable au débiteur oblige en outre ce dernier à indemniser le créancier de tout le dommage causé par l’inexécution tardive; dans les contrats bilatéraux, elle permet au créancier d’exiger l’indemnisation de son intérêt positif à la prétention à laquelle il renonce (art. 107 al. 2 1ère voie) ou, s’il choisit de résoudre le contrat (art. 107 al. 2 2 ème voie), d’obtenir des dommages-intérêts négatifs (THEVENOZ, ibidem, no 3 et 4 ad art. 102 CO). La réglementation des art. 102 à 109 CO est de nature essentiellement dispositive : les parties peuvent ainsi convenir de modifier les conditions de la demeure, en aggravant ou en allégeant ses conséquences : elles peuvent ainsi renoncer à l’interpellation, stipuler que la demeure n’interviendra non pas dès réception de l’interpellation, mais après un certain délai, ou encore prévoir que le retard d’une mensualité ou des intérêts conventionnels rend tout le capital dû immédiatement exigible. La preuve de l’existence de telles conventions divergentes incombe au créancier (THEVENOZ, ibidem, no 8/9 ad art. 102 CO). La demeure en matière de contrats bilatéraux est enfin spécialement régie aux art. 107 à 109 CO. L’interprétation de ces dispositions, selon la doctrine dominante, implique qu’elles ne concernent que les contrats synallagmatiques parfaits; certains auteurs, se fondant sur une interprétation téléologique, admettent qu’elles s’appliquent également à certains échanges non synallagmatiques, lorsque le créancier a un intérêt digne de protection à pouvoir renoncer à l’exécution et lui préférer une indemnité équivalente (THEVENOZ , ibidem no 9/10 ad. art. 107 CO) D’une manière générale, la demeure du débiteur suppose une obligation exigible (fällig) (THEVENOZ, ibidem, no 11 ad art. 102 CO).</w:t>
      </w:r>
    </w:p>
    <w:p>
      <w:r>
        <w:rPr>
          <w:b/>
        </w:rPr>
        <w:t>E. 8.3</w:t>
      </w:r>
    </w:p>
    <w:p>
      <w:r>
        <w:t>En l’espèce, la convention des parties se caractérise comme un accord portant sur la fin des rapports de travail. Aux termes de celle-ci, T_______ accepte la cessation du rapport de travail au 1 er novembre 1996; il accepte, de même, un versement anticipé de ses futures rentes de retraite d’une année et quatre mois, moyennant un abattement correspondant, résultant du tableau figurant au ch. 8.3.2 du plan social « option 96 ». De son côté, E_______ s’engage, jusqu’à l’âge légal de la retraite, au versement de diverses prestations mensuelles, qui peuvent être réduites si l’employé exerce une activité professionnelle à plein temps, lui rapportant un revenu, qui cumulé avec celles-ci, dépasse le 100% de son dernier salaire. La dette d’argent de E_______ n’est devenue ni objectivement, ni subjectivement impossible, ce qui exclut la possibilité, pour T_______, de demander des dommages intérêts en raison de son inexécution au sens de l’art. 97 al. 1 CO. Par ailleurs, cette convention revêt un caractère bilatéral, mais non synallagmatique, puisque les prestations réciproques des parties ne doivent pas être exécutées « trait pour trait ». Ainsi, les art. 107 à 109 CO sont inapplicables en l’espèce, ce qui exclut également la possibilité, pour T_______, de renoncer à l’exécution des prestations auxquels il peut prétendre et de réclamer des dommages-intérêts en lieu et place, ou encore de résoudre le contrat. Enfin, la convention de parties ne comporte pas de clause d’exigibilité, au sens de laquelle la totalité des prestations mensuelles dues deviendrait exigible, en cas de non paiement d’une ou plusieurs mensualités successives. Il résulte de ce qui précède que T_______ n’est en droit de réclamer à E_______ ni le paiement des mensualités non échues à ce jour avant leur échéance respective, ni le montant capitalisé de celles-ci à titre de dommages-intérêts. Les premiers juges ont ainsi rejeté avec raison les conclusions tendant à la condamnation de E_______ de ce chef.</w:t>
      </w:r>
    </w:p>
    <w:p>
      <w:r>
        <w:rPr>
          <w:b/>
        </w:rPr>
        <w:t>E. 8.4</w:t>
      </w:r>
    </w:p>
    <w:p>
      <w:r>
        <w:t>La Cour peut toutefois constater l’obligation de E_______ de verser à T_______ les prestations mensuelles non encore échues, à la date de leur échéance respective. D’une part, ce faisant elle ne statue pas ultra petita, puisque la constatation va moins loin que la condamnation à laquelle l’employé a conclu. L’action en constatation est d’autre part recevable in casu. En effet, l’action en constatation présuppose que la partie demanderesse a un intérêt à la constatation immédiate du droit invoqué; elle est subsidiaire à l'action en exécution et, lorsque cette dernière est ouverte, l'intérêt immédiat à l'action en constatation n'existe plus, dès lors que la constatation du droit, prémisse nécessaire, est incluse dans l'action en exécution (ATF 97 II 375 = JdT 1973 I 59). Toutefois, l’action en constatation demeure recevable, même lorsque la partie demanderesse dispose de l’action en exécution, lorsque cette constatation permet d’éviter des nouveaux procès en condamnation pour des prestations périodiques ultérieures (ATF 123 II 49 consid. 1a, 122 III 279 consid. 3a, 84 II 685 consid.2). Tel est le cas en l’espèce. T_______ dispose certes de l’action en exécution, qu’il fait d’ailleurs valoir, s’agissant des prestations mensuelles échues. Toutefois, cette action n’est pas recevable, s’agissant des prestations futures, et il dispose d’un intérêt juridique à faire constater l’obligation de E_______ de lui verser les mensualités non encore échues.</w:t>
      </w:r>
    </w:p>
    <w:p>
      <w:r>
        <w:rPr>
          <w:b/>
        </w:rPr>
        <w:t>E. 9</w:t>
      </w:r>
    </w:p>
    <w:p>
      <w:r>
        <w:t>E_______ réclame l’imputation, sur les montants à verser, des prestations reçues par T_______ de la part de B_____. A titre liminaire, la Cour, qui applique le droit d’office, n’est pas liée par le fait que T_______ tient compte de la rente qu’il reçoit de manière anticipée de B_____ dans le calcul du dommage qu’il réclame, en relation avec les prestations non payées, échues et à échoir. Pour le surplus, E_______ ne saurait être suivie. D’une part, B_____ n’est pas venue se substituer à E_______ dans le versement des prestations qu’elle s’est engagée à servir, mais a versé à T_______ des mensualités en vertu d’une obligation différente, qui lui est propre. Son versement ne vient ainsi pas éteindre, à due concurrence, la dette de E_______. D’autre part, le plan social « Option 1996 » ne prévoit pas l’imputation sur les prestations dues en vertu de ceux-ci des montants versés par une assurance, en particulier par B_____. Au contraire, dès que l’employé atteint l’âge avancé de la retraite, respectivement l’âge réglementaire de la retraite, le « pont AVS » vient se cumuler à celles-ci. Il en est de même aux termes du courrier du 4 juillet 1996, puisque dès le 1 er mai 2002, le « Pont AVS » de 1’940 fr. promis vient se cumuler aux rentes B_____ en question. Le chiffre 5.1. de ce courrier, quant à lui, réserve seulement la possibilité de réduire la prestation de préretraite au cas où l’employé préretraité continuerait d’exercer une activité lucrative à plein temps lui rapportant un salaire qui, cumulé avec les prestations du plan social, représenterait plus au 100% de son dernier salaire (chiffre 5.1), circonstance non réalisée en l’espèce. Par ailleurs encore, ainsi qu’il a été vu ci-dessus, la lettre circulaire de C_______ du mois de novembre 2000 n’est pas opposable à T_______, en tant qu’elle prévoit une telle imputation. Enfin, les rentes versées par B_____ de manière anticipée s’imputent non pas sur la dette de E_______, mais sur le dommage de rente que T_______ fait valoir et dont il sera question ci-dessous. A cela s’ajoute que si T_______ avait choisi de recevoir son capital-retraite de B_____, en lieu et place de la rente, il aurait également subi un dommage. Il résulte en effet des attestations d’assurance produites, que son capital retraite au 1 er décembre 2001 est inférieur à celui qu’il aurait pu percevoir, de toute manière, à la date de sa retraite réglementaire, même avancée d’une année et quatre mois. Or, rien ne justifie in casu de traiter de manière différente les préretraités ayant choisi l’option de la rente et ceux ayant choisi l’option du capital.</w:t>
      </w:r>
    </w:p>
    <w:p>
      <w:r>
        <w:rPr>
          <w:b/>
        </w:rPr>
        <w:t>E. 10</w:t>
      </w:r>
    </w:p>
    <w:p>
      <w:r>
        <w:t>T_______ réclame enfin une indemnité correspondante au montant capitalisé de la perte qu’il subit sur sa rente B_____, en raison du versement anticipé de celle-ci, de même que le dommage que subirait son épouse, si elle devait percevoir ultérieurement une rente de veuve.</w:t>
      </w:r>
    </w:p>
    <w:p>
      <w:r>
        <w:rPr>
          <w:b/>
        </w:rPr>
        <w:t>E. 10.1</w:t>
      </w:r>
    </w:p>
    <w:p>
      <w:r>
        <w:t>La demeure imputable au débiteur oblige celui-ci à indemniser le créancier de tout le dommage supplémentaire à l’intérêt moratoire causé par l’exécution tardive (art. 103 et 106 CO). En l’espèce, la demeure est bien imputable à E_______, ni la procédure concordataire à laquelle sa maison mère C_______ été soumise et le blocage, par le Commissaire au sursis, des fonds mis à disposition par C_______ pour assurer le financement des préretraites des employés au sol du groupe, ne constituant des faits propres à l’exempter de toute faute. Elle est ainsi tenue de dédommager T_______ de tout dommage résultant du fait qu’elle a cessé, au 1 er décembre 2001, de verser à celui-ci les prestations de préretraite convenues.</w:t>
      </w:r>
    </w:p>
    <w:p>
      <w:r>
        <w:rPr>
          <w:b/>
        </w:rPr>
        <w:t>E. 10.2</w:t>
      </w:r>
    </w:p>
    <w:p>
      <w:r>
        <w:t>T_______ a perçu de manière anticipée les rentes de B_____. Cette anticipation a entraîné une diminution à vie des rentes de retraite, puisque celles-ci représentent 46'688 fr. 40 annuellement, alors qu’elles se seraient élevées à 47'649 fr. annuellement s’il les avait perçues à 61 ans. Il en résulte une diminution de la rente de 960 fr. 60 annuellement, que T_______ subira sa vie durant. T_______ arrête a 13’876 fr 80 . le dommage qu’il subi de ce chef, sur la base de la table STAUFFER/WEBER 1, (homme 62 ans, facteur de capitalisation 14,44), calcul qui n’est pas spécifiquement contesté par E_______. Toutefois, ce dommage n’est pas en relation de causalité adéquate avec la demeure de E_______, puisqu’il résulte d’une décision de B_____, que celle-ci a prise non en raison de la demeure de E_______, mais de la procédure concordataire dont C_______ faisait l’objet. A cela s’ajoute que le dommage allégué est totalement compensé par les rentes perçues et à percevoir par T_______ de B_____ pour la période du 1 er décembre 2001 au 31 août 2005. En effet, T_______ n’aurait pas perçu celles-ci, si la rente lui avait été versée depuis la date prévue réglementairement. Il en résulte que T_______ ne subit aucun dommage et peut prétendre à aucune indemnisation de ce chef. Il en est de même, s’agissant de la perte alléguée sur la rente de veuve de son épouse; il, s’agit en effet là d’un dommage futur potentiel, qui serait subi par un tiers, et dont T_______ ne peut réclamer la réparation anticipée.</w:t>
      </w:r>
    </w:p>
    <w:p>
      <w:r>
        <w:rPr>
          <w:b/>
        </w:rPr>
        <w:t>E. 11</w:t>
      </w:r>
    </w:p>
    <w:p>
      <w:r>
        <w:t>L’appel de E_______ portait sur une valeur litigieuse inférieure à fr. 30'000.-. Il n’a ainsi pas donné lieu au paiement d’un émolument d’appel. L’appel incident portait quant à lui sur une valeur litigieuse de fr. 89'869.25. L’appel incident de T_______ est très largement fondé. Il se justifie, partant, de condamner E_______ à payer à l’Etat de Genève, auprès des Services financiers du Pouvoir judiciaire, l’émolument d’appel incident, lequel se montera à fr. 800.-.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