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C/14603/1997 vom 16. Januar 2004</w:t>
      </w:r>
    </w:p>
    <w:p>
      <w:r>
        <w:t>GE Cour de justice, 2004-01-16, FR</w:t>
      </w:r>
    </w:p>
    <w:p>
      <w:r>
        <w:rPr>
          <w:b/>
        </w:rPr>
        <w:t xml:space="preserve">Quelle: </w:t>
      </w:r>
      <w:r>
        <w:t>https://mcp.opencaselaw.ch/entscheid/ge_gerichte_C_14603_1997</w:t>
      </w:r>
    </w:p>
    <w:p>
      <w:r>
        <w:t>FR: GE_GERICHTE C/14603/1997 du 16 janvier 2004</w:t>
      </w:r>
    </w:p>
    <w:p>
      <w:r>
        <w:t>IT: GE_GERICHTE C/14603/1997 del 16 gennaio 2004</w:t>
      </w:r>
    </w:p>
    <w:p>
      <w:pPr>
        <w:pStyle w:val="Heading2"/>
      </w:pPr>
      <w:r>
        <w:t>Regeste</w:t>
      </w:r>
    </w:p>
    <w:p>
      <w:r>
        <w:t>CC.641. CC.884.1. CC.3. CC.936. ACTREV BONFOI ACTP</w:t>
      </w:r>
    </w:p>
    <w:p>
      <w:pPr>
        <w:pStyle w:val="Heading2"/>
      </w:pPr>
      <w:r>
        <w:t>Erwägungen</w:t>
      </w:r>
    </w:p>
    <w:p>
      <w:r>
        <w:rPr>
          <w:b/>
        </w:rPr>
        <w:t>E. 1</w:t>
      </w:r>
    </w:p>
    <w:p>
      <w:r>
        <w:t>Interjeté dans la forme et le délai prescrits, l'appel est recevable (art. 291, 296, 300, 306A LPC).</w:t>
      </w:r>
    </w:p>
    <w:p>
      <w:r>
        <w:rPr>
          <w:b/>
        </w:rPr>
        <w:t>E. 2</w:t>
      </w:r>
    </w:p>
    <w:p>
      <w:r>
        <w:t>Le jugement attaqué a été rendu en premier ressort (art. 22 LOJ), de sorte que la Cour dispose d'un plein pouvoir d'examen.</w:t>
      </w:r>
    </w:p>
    <w:p>
      <w:r>
        <w:rPr>
          <w:b/>
        </w:rPr>
        <w:t>E. 3</w:t>
      </w:r>
    </w:p>
    <w:p>
      <w:r>
        <w:t>L'appelante prétend à la restitution des deux pièces d'or en exerçant contre l'intimée tant une action en revendication (art. 641 al. 2 CC) qu'une action possessoire (art. 934 et ss CC). A teneur de l'article 98 al. 1 LDIP, les tribunaux suisses du domicile du défendeur sont compétents pour connaître d'actions réelles mobilières, notion qui inclut les actions possessoires (IRPG-FISCH, n. 14 Vorbem. zu art. 97-108 LDIP; HEINI, IRPG-Kommentar, n. 11 Vorbem. art. 97-108, n. 2 ad art. 97 et n. 1 ad art. 98 LDIP). L'intimée ayant son siège à Genève, les juridictions civiles genevoises sont compétentes ratione loci. 4.1 En vertu du principe de non-rétroactivité, la LDIP n'est pas applicable aux faits et actes juridiques qui ont pris naissance et produit tous leurs effets avant le 1er janvier 1989. Or, une partie des faits pertinents ont eu lieu avant cette date. Toutefois, en matière de droits réels mobiliers, tant la LDIP que l'ancien droit prévoient qu'en principe, la lex rei sitae s'applique aussi bien au contenu qu'à l'exercice de ceux-ci (art. 100 al. 2 LDIP; ATF 94 II 297 , 303 = JdT 1970 I 176-181; ATF 109 II 319 , 323; HEINI, op. cit., n. 5 ad art. 100 LDIP). La notion de droits réels inclut la propriété, la possession et les droits réels limités, tel que gage mobilier ou droit de rétention (DUTOIT, Commentaire de la LDIP, 3ème éd., n. 1 ad art. 100 LDIP; HEINI, op. cit., n. 3 ad art. 100 LDIP). 4.2 La question de l'acquisition et de la perte des droits réels mobiliers est régie par le droit du lieu de situation des meubles au moment des faits sur lesquels se fonde l'acquisition ou la perte (art. 100 al. 1 LDIP). Le tribunal saisi applique ainsi la loi du lieu de situation à un moment donné, même si ce lieu a changé depuis lors (DUTOIT, op. cit., n. 3-4 ad. art. 100 LDIP; HEINI, op. cit., n. 11 et ss ad art. 100 LDIP; KNOEPFLER, Le Commerce de l'art en droit international privé suisse, in La Vente Internationale d'oeuvres d'art, Colloque de Genève, 1985, p. 372 et ss avec les références). Lorsqu'une chose mobilière est transportée de l'étranger en Suisse, les effets des droits réels sur cette chose ainsi que les effets de la présomption de propriété ou la constitution d'un gage mobilier sont soumis à la loi suisse. Il en va de même de la revendication d'une chose située en Suisse (ATF 109 II 319 = JdT 1984 I 319; 109 II 144 ). Les pièces d'or litigieuses se trouvant au moment de l'ouverture de l'action en Suisse, l'action en revendication de même que l'action possessoire intentée contre l'intimée sont régies par le droit suisse (art. 641 al. 2 CC et 934 et ss CC). Ce droit détermine notamment les conditions personnelles et matérielles de l'action, ainsi que le fardeau de la preuve (DUTOIT, op. cit., n. 5 et 9 ad art. 100 LDIP; HEINI, op. cit., n. 7 ad art. 100 LDIP), étant précisé que l'examen préalable de l'acquisition et de la perte du droit de propriété sur les pièces d'or doit se faire à la lumière des droits applicables en fonction de leur cheminement. 5.1 Le propriétaire d'une chose peut la revendiquer contre quiconque la détient sans droit (art. 641 al. 2 CC). L'action en revendication est l'action en restitution de la chose fondée sur le droit de propriété de la partie demanderesse (STEINAUER, Les droits réels, Tome I, Berne 1997, nos 1018-1022). Pour obtenir gain de cause, celui qui agit en revendication doit établir son droit de propriété sur la chose (STEINAUER, op. cit., no 1021; WIEGAND, Commentaire bâlois, n. 43 ad art. 641 CC). 5.2 Il convient d'abord de rechercher si l'appelante a démontré son droit de propriété sur les deux pièces d'or, ce que le premier juge a nié et ce que l'intimée conteste. 5.3 La question doit être résolue en appliquant le droit H______ en vertu de l'article 100 al. 1 LDIP, dès lors que les pièces litigieuses se trouvaient en H______, à l'époque où l'appelante prétend en avoir acquis la propriété. Elle affirme être devenue propriétaire au début de 1950, à la suite de l'indépendance de H______, de l'entrée en vigueur de la constitution du ______ 1950 et de la signature de la Convention conclue le 25 janvier 1950 avec E______, convention définissant notamment les biens restant sa propriété personnelle et ceux qui devenaient propriété de A______. L'intimée ne conteste pas formellement l'application à cette question des articles 291 et ss de la constitution H______ et de la convention de janvier 1950, mais conteste qu'il ait été établi que les pièces se trouvaient en H______ à l'époque, compte tenu de l'attestation délivrée en novembre 1987 par les avocats de D______ (cf. cons. D). Pareille question n'est toutefois pas déterminante dans la mesure où, si l'on suit l'argumentation de l'intimée, le droit suisse qui serait alors applicable, conduirait également à examiner le titre de propriété, soit la convention conclue entre le F______ et A______ fondée sur l'article 295 de la constitution H______. A cet égard, la Cour estime que le contenu du droit constitutionnel H______ et de la convention de 1950 a été établi, la question du contenu de l'annexe à la convention sera, quant à elle, discutée ci-dessous. 5.4 Bien que les parties n'aient jamais soulevé cette question, la Cour relève à titre liminaire que la question de l'applicabilité au litige de normes de droit public étranger pourrait se poser en l'espèce, dès lors qu'il apparaît que la Constitution H______ est une norme de droit public et que la convention conclue entre l'appelante et E______ relève de circonstances liées au processus ayant conduit à l'indépendance de l'Etat. Toutefois, en application de l'article 13, 2ème phrase LDIP et de la jurisprudence récente du Tribunal fédéral (ATF 118 II 348 , 353 = JdT 1993 I 550), l'application du droit étranger désigné par la règle de conflit, n'est pas exclue du seul fait qu'on attribue à cette disposition un caractère de droit public. Les seules réserves permettant d'écarter l'application des règles étrangères de droit public sont celles de l'article 15 LDIP (clause d'exception) mais, avant tout, l'ordre public s'agissant en particulier de l'ordre public du for (art. 17 LDIP), voire, et accessoirement, de l'ordre public d'un Etat tiers (art. 19 LDIP). Lorsque des normes de droit public de l'Etat étranger de la lex causae s'appliquent au cas particulier et produisent des effets hors du territoire, il y a lieu de préciser, sous l'angle de l'ordre public suisse, dans quelles situations l'application de telles normes pourrait heurter les conceptions suisses du droit. L'application du droit public étranger peut heurter le sentiment de justice s'il a pour effet de priver une partie de son droit, et ce de manière discriminatoire ou sans compensation équitable (BUCHER, Droit international privé suisse, Tome I/2 partie générale - droit applicable, nos 4, 13 et 354 ss). En l'espèce, il apparaît néanmoins que le dernier F______ a pu librement établir les listes de biens qu'il voulait conserver dans son patrimoine; par conséquent, le partage avec le nouvel État, bien qu'ayant eu lieu dans des circonstances particulières, ne lui a pas été imposé quant à son contenu. L'application des dispositions du droit H______ invoquées ne pose donc pas de problème particulier au regard de l'ordre public suisse. 5.5 L'article 295 de la Constitution H______ dispose que dès son entrée en vigueur, H______ devient automatiquement propriétaire des biens et des avoirs des anciennes principautés, sous réserve d'accord contraire signé entre le gouvernement et le chef des principautés. La constitution est applicable à G______, qui a choisi de rallier A______ en 1949. Par convention du ______ 1950, le gouvernement de H______ a accepté que certains biens mobiliers et immobiliers, dont des listes ont été établies, restent la propriété privée du F______ de G______. Pour prouver qu'elle est devenue propriétaire des deux pièces d'or litigieuses, l'appelante devait démontrer que celles-ci ne faisaient pas partie des listes des biens remises par le F______ et homologuées par le gouvernement de H______ entre 1950 et 1953. 5.6 A la lecture de l'ensemble des listes des biens mobiliers et immobiliers que E______ a souhaité conserver, il ressort que les deux pièces d'or litigieuses n'apparaissent pas nommément. Cette constatation ne suffit cependant pas à démontrer la propriété de l'appelante. En effet, il découle des déclarations recueillies au cours des enquêtes et d'un examen approfondi de l'ensemble du dossier d'archives relatif à l'accord entre A______ et le F______ que les biens mobiliers restés sa propriété n'ont pas tous été répertoriés sur les listes transmises au gouvernement de H______ et que les listes de biens mobiliers, certes toutes produites, n'ont pas un contenu exhaustif. En effet, le Directeur Général des Archives de A______ a admis que les listes de biens mobiliers n'étaient pas exhaustives et portaient essentiellement sur les meubles figurant dans le palais principal du F______, soit BF______, ce qui ressort également des pièces produites par l'appelante elle-même (pièces 27, 56, 60 p. 470, 586 dem.). Par ailleurs, il est établi que le F______ avait de nombreux palais, lesquels sont restés sa propriété, notamment le T______ à U______ et plus particulièrement le BG______ (pièces 27 2ème partie page 257, 56 dem. - section "Correspondence" p. 24 nos 2 et 4 et section "notes" serials nos 36 p. 8 § 3, 40 p. 9 § 4 - 60 p. 586). Or, c'est précisément à cet endroit que deux héritiers du F______ déclarent avoir vu les deux pièces d'or litigieuses avant son décès, pièces que le F______ promettait de leur laisser. L'appelante reconnaît de surcroît que les pièces se trouvaient dans ce palais (acte d'appel n. 54 et 73, pièces 16 et 17 dem.). Enfin, le fait qu'il n'existe aucune liste des objets mobiliers se trouvant dans ce palais ou dans d'autres revendiqués par le F______, ce qui a paru invraisemblable au premier juge, s'explique à la lecture du dossier d'archives et tend à confirmer le fait que les pièces d'or litigieuses sont restées propriété du F______. En effet, lors de l'établissement des listes des biens immobiliers restant au F______, il fut décidé que les biens mobiliers situés dans ces palais, dont celui de Y______, suivraient le sort de ceux-ci et sont donc restés propriété privée du F______. Ainsi, on peut lire dans la correspondance échangée avec le chef du Ministère des Etats du gouvernement H______ qu'en date du 30 juin 1950, l'Etat H______ a confirmé que "de notre avis, les meubles et accessoires devraient être tenus comme faisant partie des Palais et devraient suivre le sort de tous les autres immeubles du F______. Le résultat serait que tous les meubles, etc. dans les Palais qui sont reconnus par nous comme étant la propriété du F______, lui reviendront avec les Palais". De même, par courrier du 30 août 1950, il a été répondu au F______ après l'envoi des listes de biens immobiliers - sur lesquels figurent notamment le T______ - que ceux-ci pouvaient être acceptés comme lui appartenant, étant précisé que l'auteur attirait également l'attention sur le courrier du 30 juin 1950 déjà cité (pièce 56 dem. - section "Correspondence" page 8 serials Nos 21, 22, 29, 58 et annexes). Ce procédé fut accepté par A______ notamment pour le T______. Ceci explique pourquoi le contenu de ce palais n'a jamais été détaillé de manière exhaustive, alors qu'il contenait les deux pièces d'or. Partant, la production complète du dossier d'archives ne permet pas de prouver que les pièces d'or avaient été exclues des biens revendiqués par le F______ et que l'appelante en est devenue propriétaire sur la base de la convention. 5.7 L'appelante affirme, témoignages écrits à l'appui, que les pièces d'or ne faisaient pas partie de la cinquantaine de trusts constitués par le F______, mais ne produit pas les listes des biens dévolus à ceux-ci, alors qu'elles existent. 5.8 Il faut encore relever que A______ ne s'est pas comportée en propriétaire des pièces. Elle ne s'est nullement prévalue de cette qualité en 1987, lorsqu'elle a demandé à être renseignée sur l'identité de leur propriétaire et qu'elle s'est contentée d'invoquer une infraction aux règles sur l'exportation des biens culturels (pièce 14 déf.). De même, dans une note à Interpol du 13 novembre 1987, l'appelante précisait que les pièces avaient été volées au trust du F______ de G______, sans prétendre en être devenue propriétaire (pièce 23 dem.) et indiquait en 1997 que D______ les avaient héritées au décès de son grand-père (pièces 27-29 déf). Par ailleurs, H______ aurait pu déjà faire valoir son droit en 1987 lors de la mise en vente aux enchères et avant, lors de leur exposition à ______ [USA]; or on doit constater qu'elle a attendu plus de cinq ans avant d'agir pour obtenir la saisie pénale des pièces et plus de dix ans pour les revendiquer. De même, avant que les pièces d'or ne quittent H______, elle n'a pas marqué sa propriété au travers de documents ou par quelque autre mesure adéquate, laissant les pièces d'or en possession paisible et non contestée de E______. A sa mort, le pays ne s'est pas plus inquiété de leur sort, ce qui a permis semble-t-il à D______ de les déplacer. 5.9 Enfin, si A______ avait estimé avoir un différend avec le F______ de G______, ou avec quelque membre de sa succession, au sujet de la propriété d'un bien détenu par l'un d'eux, il lui appartenait de saisir l'autorité prévue dans l'accord de 1950 en son art. II &amp; 3, ce qu'elle n'a pas fait, alors même qu'un litige similaire, portant sur des biens mobiliers faisant partie des listes remises à A______, dévolus aux héritiers du F______ qui souhaitaient les vendre hors de H______, a été tranché, confirmant leur propriété sur lesdits biens et leur droit de les vendre. 5.10 N'ayant pu démontrer qu'elle était propriétaire des deux pièces d'or, l'appelante doit être déboutée de son action pour ce motif déjà. 6.1 A titre subsidiaire et même si elle avait pu établir sa propriété, l'appelante ne serait pas fondée à exiger la restitution des pièces, dès lors que l'intimée pourrait lui opposer un droit préférable acquis valablement. Dans le cadre d'une action en revendication, la restitution ne sera pas ordonnée si la partie défenderesse en possession de la chose au moment de l'ouverture de l'action prouve qu'elle ou un tiers en est devenu régulièrement propriétaire - notamment par acquisition de bonne foi (ATF 47 II 267 ; 94 II 297 = JdT 1970 I 176, 190) -, ou qu'elle a le droit de la posséder en vertu d'un droit personnel concédé par le revendiquant (bail, prêt), ou encore en vertu d'un droit réel limité régulièrement constitué (gage, usufruit) (STEINAUER, op. cit., no 1022; MEIER-HAYOZ, Commentaire bernois, n. 67 ss ad art. 641 CC; HAAB, Commentaire zurichois, n. 35 ad art. 641 CC). 6.2 En l'espèce, la réalisation du premier moyen opposable par l'intimée, soit le fait qu'un tiers soit devenu propriétaire de la chose par prescription acquisitive, suppose en principe que soit préalablement résolue la question de la situation des pièces litigieuses entre 1950 et 1973, déterminante pour désigner le droit applicable à cette question, soit le droit H______ ou le droit suisse. La Cour estime néanmoins que cette question peut en définitive rester sans réponse - vu les doutes qui subsistent quant à la localisation des pièces pendant toute cette période et quant au contenu du droit H______ sur la possession - dès lors que l'intimée a établi - comme on le verra plus loin - avoir le droit de posséder les pièces en vertu d'un droit réel limité constitué valablement au regard du droit suisse applicable au cas d'espèce, puisqu'il est établi que les pièces se trouvent à Genève en tout cas depuis 1988. 6.3 A teneur de l'article 932 CC, le possesseur d'une chose mobilière peut opposer à toute action dirigée contre lui la présomption qu'il est au bénéfice d'un droit préférable. Cette présomption découle des articles 930 al. 2 et 931 al. 2 CC. Il incombe au demandeur de prouver que ce droit n'existe pas (STEINAUER, op. cit., nos 385 et 452). Le possesseur ne peut invoquer valablement ces présomptions que si les conditions en sont réalisées : la possession porte sur une chose mobilière, la possession est qualifiée, en d'autres termes, n'est pas violente, clandestine ou équivoque, et le droit présumé implique la possession de la chose (STEINAUER, op. cit., nos 389-396). En cas de possession dérivée, la présomption porte soit sur un droit réel limité ou sur un droit personnel, soit sur le droit de propriété de la personne dont le possesseur tient la chose et est déterminée par l'article 931 CC. En vertu de cet article, le possesseur dérivé peut invoquer la présomption de propriété de celui dont il tient la chose à condition d'être de bonne foi (art. 3 CC) et invoquer ensuite la présomption d'existence du droit en vertu duquel il prétend posséder cette chose (STEINAUER, op. cit., nos 405 ss). La banque s'oppose à la restitution des pièces d'or du fait de leur remise en nantissement en sa faveur par la société AF______ SA en garantie des prêts accordés à cette société et à la société BC______, dont D______ est le propriétaire économique. Il n'est pas contesté que la banque en sa qualité de créancier-gagiste a été mise en possession de choses mobilières à titre de possesseur dérivé et que sa possession n'est ni violente, ni clandestine, ni équivoque. La banque peut donc opposer la présomption de l'existence d'un droit préférable et celle de la présomption de propriété de celui dont elle tient la chose à condition d'être de bonne foi (art. 3 CC). 6.4 Le transfert de la propriété ou la constitution d'un droit réel limité supposent que l'aliénateur puisse valablement disposer de la chose (nemo plus juris ad alium transferre potest quam ipse habet). Il existe deux cas où l'acquéreur de bonne foi est protégé même si l'aliénateur n'avait pas le pouvoir de disposer, lorsque la chose acquise avait été confiée à l'aliénateur (art. 933) et lorsque la chose acquise est de la monnaie ou un titre au porteur (art. 935). La constitution d'un nantissement par convention implique le transfert de la possession à titre dérivé (art. 884 al. 1 et 3 CC). Ce transfert découle d'un contrat de nantissement non subordonné au respect d'une forme particulière et suppose que le constituant a le pouvoir de disposer de la chose, la protection du tiers acquéreur de bonne foi étant réservée par l'article 884 al. 2 CC (SJ 2003 I p. 446 consid. 2.2; STEINAUER, Les droits réels, Tome III, 1996, nos 3094, 3098, 3101; ZOBL, Commentaire bernois, n. 730 ad art. 884 CC; OFTINGER/BAER, Commentaire zurichois, n. 304 ss ad art. 884 CC). L'article 884 al. 2 CC protège l'acquéreur de bonne foi d'un gage lorsque l'auteur du nantissement n'avait pas qualité pour disposer de la chose, soit qu'il n'en était pas propriétaire et n'avait pas reçu l'autorisation, soit qu'il en était propriétaire mais que son pouvoir de disposer était restreint. Cette règle constitue une concrétisation des principes généraux des articles 933 à 936 CC, qui s'appliquent aussi bien à l'acquisition de la propriété qu'à celle d'autres droits réels sur les biens mobiliers (art. 933), lorsque notamment la chose gagée a été confiée au constituant (STEINAUER, op. cit., nos 3101-3103; ZOBL, op. cit., n. 784 ss ad art. 884 CC; OFTINGER/BAER, op. cit., n. 335 ss ad art. 884 CC). La notion de chose confiée implique qu'elle ait été remise volontairement à un tiers en vertu d'un droit réel limité ou d'un droit personnel (STEINAUER, op. cit., nos 425 et 428). 6.5 Le nantissement n'est constitué que si le créancier-gagiste était de bonne foi au moment de l'acquisition (ATF 72 II 242 = JdT 1947 I 616); il doit croire que le constituant a le pouvoir de disposer de la chose (ATF 85 II 580 = JdT 1960 I 485). La bonne foi est présumée (art. 3 al. 1 CC), mais le créancier est déchu du droit de l'invoquer s'il n'a pas prêté "l'attention que les circonstances permettaient d'exiger de lui" (art. 3 al. 2 CC). Il appartient au propriétaire de la chose donnée en nantissement de renverser la présomption en apportant la preuve que le créancier-gagiste savait que le constituant n'avait pas le droit de disposer ou d'établir que, si le créancier-gagiste avait fait preuve de l'attention requise par les circonstances, il aurait reconnu l'absence du pouvoir de disposer (SJ 2003 I 444, p. 448 consid. 3.2). Le créancier n'a toutefois pas, de manière générale, le devoir de se renseigner sur le pouvoir de disposer du constituant; un tel devoir n'existe que si des circonstances spéciales sont de nature à éveiller la méfiance. Ce n'est qu'en présence de soupçons concrets que les circonstances doivent faire l'objet d'un examen plus approfondi (SJ 1999 I p. 1; ATF 122 III 1 = JdT 1997 I 157, 159; ATF 113 II 397 c. 2b/c = JdT 1988 I 252; ATF 100 II 8 = JdT 1974 I 576; ATF 83 II 126 , 133 = JdT 1958 I 175; OFTINGER/BAER, op. cit., n. 361 ad art. 884 CC; ZOBL, op. cit., n. 824 ad art. 884 CC). Les circonstances décisives étant celles existant au moment des faits, aucune inférence ne pouvant être tirée de faits postérieurs ou qui se sont révélés après coup (ATF 83 II 126 , consid. 5 p. 138; 72 II 242 , consid. 2 p. 250). Le Tribunal fédéral a précisé que, sans créer un devoir général de renseignement, des exigences accrues, soit l'obligation de clarifier la situation et de procéder à des recherches relatives à la capacité de disposer de l'aliénateur, doivent être de mise dans les branches économiques particulièrement exposées à se voir offrir des marchandises d'origine douteuse, tel que les objets de seconde main de toutes sortes (ATF 113 II 397 c. 2b/c = JdT 1988 I 252). Le degré de l'attention qui peut être exigée dépend bien plus de la connaissance que l'acquéreur a de la branche que du fait qu'il s'agisse d'une vente commerciale (achat à but de revente). Dans un arrêt récent (ATF 122 III 1 = JdT 1997 I 159, 160), le Tribunal fédéral a indiqué que la jurisprudence concernant les marchandises de seconde main de toutes sortes est applicable au commerce d'antiquités et que la diligence accrue n'est pas limitée aux seules transactions commerciales. Le Tribunal fédéral a pour le surplus admis que l'on ne peut exiger d'une banque, dont l'intérêt légitime est de servir son client, qu'elle refuse une relation d'affaires par une marque de défiance et qu'elle court ainsi le risque de perdre non seulement l'affaire proposée mais un client lui-même. La banque peut ainsi tenir pour honorable même un cocontractant inconnu et se fonder sur la présomption légale liée à la possession (art. 930 CC), sauf circonstances particulières justifiant des doutes ou de la méfiance (ATF 100 II 8 = JdT 1974 I 583). La doctrine admet également que la banque n'est pas tenue d'effectuer des recherches sur la provenance des biens de valeur qui lui sont remis en gage (ZOBL, op. cit., n. 817 ad art. 884 CC; JAGGI, Commentaire bernois, n. 128 ad art. 3 CC; STARK, Commentaire bernois, n. 52 ad art. 933 CC). 6.6 Il convient donc d'examiner si en l'espèce, l'appelante a démontré qu'au moment d'accepter les pièces d'or en nantissement, sa partie adverse s'est trouvée en présence de circonstances propres à éveiller la méfiance et qu'elle n'a pas satisfait à son obligation de diligence. Il ressort du dossier que la banque est intervenue après la mise aux enchères publiques des pièces d'or, laquelle avait bénéficié d'une large audience et d'une diffusion mondiale (catalogue rédigé par des experts de la branche, expositions des pièces à Genève et à ______ [USA]) et s'était déroulée normalement sans que les démarches des autorités H______ auprès des autorités politiques suisses n'aient été rendues publiques. Le fait que les pièces n'aient finalement pas été vendues, le prix de réserve n'ayant pas été atteint, ne constitue pas en soi un élément pouvant inciter à la méfiance et la banque n'avait pas à mettre en doute cette explication, ce d'autant qu'il fut ensuite confirmé que des offres privées d'un montant équivalent avaient été reçues pour l'achat des pièces. La thèse de l'appelante, selon laquelle l'échec de la vente serait due à l'intervention de H______ auprès des autorités suisses le jour de la vente, n'a pas été établie. La banque a admis n'être pas habituée à recevoir des oeuvres d'art en nantissement et n'avoir aucune connaissance en matière d'antiquités et que l'opération avait un caractère particulier. Elle s'est néanmoins adressée à la maison de vente, en possession des pièces, et s'est fait remettre des attestations établies par elle ou adressées à celle-ci dans le cadre de la vente aux enchères, lesquelles n'éveillaient pas la méfiance quant à la provenance et à l'authenticité des pièces. De même, le catalogue rédigé pour la vente aux enchères avec la collaboration de nombreux experts, également remis à la banque, ne pouvait que la conforter sur l'authenticité et la provenance des pièces, tout comme le fait que d'autres pièces du même type appartenant à D______ avaient été vendues à la même époque par cette maison de vente. La banque a certes su que la maison de vente aux enchères consultée était intéressée à l'octroi du prêt, destiné notamment à rembourser l'avance consentie par elle. Pareille circonstance n'était cependant pas de nature à remettre en cause son indépendance quant aux garanties données sur les pièces d'or et à ses compétences et au sérieux des recherches effectuées en vue de leur vente aux enchères, ce d'autant que la banque savait aussi que la maison de vente avait elle-même accepté les pièces comme garantie de l'avance faite au client. Aucune des informations en possession de la banque ne lui permettait à l'époque de douter de l'identité de leur propriétaire et justifier qu'elle entreprenne des vérifications à ce sujet. La lecture simultanée des attestations remises par les avocats de D______, établies certes vraisemblablement en vue de la vente aux enchères, indiquant que selon leur client les pièces se trouvaient en Europe depuis une cinquantaine d'années et appartenaient à la famille du bénéficiaire de sa cliente et celle de Me AB______ précisant que les pièces d'or étaient déposées depuis 1973 dans un coffre à Genève, n'était pas, au vu des éléments en possession de la banque à l'époque de la constitution du gage, de nature contradictoire ni à même d'éveiller de quelconques soupçons. Enfin, s'étant documentée sur l'histoire des F______ de G______, ancêtres de son futur client, et l'étendue de leur fortune, la banque a pu légitimement penser de bonne foi qu'un petit-fils du dernier souverain régnant était fondé à disposer d'objets de valeur dont il est prouvé et non contesté qu'ils se sont trouvés dans la famille depuis des générations. S'agissant de l'opération envisagée par la banque, les prêts ont été accordés à des sociétés appartenant à un homme réputé richissime, pour des échéances raisonnables et garantis par des gages de valeur adéquate - certes de nature exceptionnelle - et par l'engagement personnel du bénéficiaire économique. On pourrait certes tenir pour surprenant le fait de prêter de l'argent à un homme fortuné, en vue de rembourser une avance consentie par une maison de vente aux enchères. Néanmoins, le prêt devait être de courte durée et la banque s'était vu indiquer que l'avance s'intégrait dans un processus visant à réaliser des biens constitués pour la plupart d'immeubles et d'objets de valeur. L'opération pouvait dès lors se justifier aux yeux de la banque. S'agissant des recherches entreprises, les représentants de la banque ont rencontré personnellement D______ à son domicile en Australie, sans que le détail de leurs discussions n'ait été précisément établi - notamment par un compte-rendu écrit du voyage et par l'audition de D______. Les intéressés ont néanmoins eu plusieurs contacts avec ses avocats à Genève, dont un avait voyagé en H______ et décrit l'étendue de sa fortune, notamment constituée de pièces d'or. De plus, la banque a reçu la garantie personnelle du propriétaire économique des sociétés qui déposaient les pièces d'or en gage et qui confirmaient avoir le pouvoir d'en disposer valablement. Bien que de telles déclarations ne suffisent pas à elles seules à établir la propriété des objets, l'insertion de la clause dans le contrat de gage ne permet pas d'en déduire que la banque aurait eu des soupçons quant à l'identité du propriétaire. De même, le fait que la succursale de Genève, à l'époque, ait dû obtenir l'approbation du siège de Paris pour la signature d'un contrat de prêt garanti par des objets de grande valeur, ne constitue pas nécessairement un indice de soupçons de la part de la banque, mais peut simplement refléter le souci de ses organes de respecter la procédure interne en vigueur au sein de l'établissement. Enfin, s'étant documentée sur l'histoire de H______ et la dynastie des F______ de G______, ayant constaté la fortune des héritiers et l'existence d'autres biens en Europe, il n'y avait rien de suspect pour la banque qu'un héritier du dernier F______, reconnu comme tel, possède hors de H______, entre autres, deux pièces d'or exceptionnelles, appartenant à la famille depuis des générations et qu'il en dispose en les remettant en gage. Il ne saurait être exigé d'une banque, même si la jurisprudence récente du Tribunal fédéral relative à l'attention à apporter en matière de commerce d'objets d'art lui est du fait du type d'objet mis en gage applicable, plus que l'attention requise par exemple d'une maison de vente et lui imposer de mettre en doute tous les renseignements fournis par son client et ses représentants, alors même que les circonstances n'incitent pas à la méfiance et au risque de mettre en péril ses relations commerciales. Comme déjà dit, sont décisives les circonstances qui existaient à l'époque, soit en 1988, et non pas celles qui se sont révélées après coup. On ne peut donc reprocher à la banque de ne pas avoir fait des recherches alors même que l'appelante jusqu'en 1992 n'a de son côté pas entrepris de démarche judiciaire en Suisse propre à attirer l'attention des tiers, et qu'elle s'est limitée à demander des renseignements sur le propriétaire des pièces d'or, sans prétendre en être elle-même propriétaire, en invoquant une éventuelle infraction à l'exportation d'objets d'art. De même, l'appelante bien qu'elle ait été au courant de la vente aux enchères et que le prix de réserve n'avait pas été atteint, ne s'est pas manifestée entre la vente et la constitution du droit de gage qu'elle conteste aujourd'hui. 7.1 Dans l'hypothèse toujours où H______ aurait établi sa propriété sur les pièces, la bonne foi de la banque ayant été admise et l'absence du pouvoir de disposer guérie de ce fait, il reste à examiner si l'existence du droit préférable, soit le droit de gage acquis de bonne foi, repose sur un titre d'acquisition valable suivi d'une opération d'acquisition (art. 884 al. 2 et 933 CC; ATF 55 II 298 = JdT 1930 I 162; ATF 98 II 1 , 5 = JdT 1922 I 241, 245; ATF 65 II 62 , 65 = JdT 1939 I 424, 426; STEINAUER, op. cit., nos 441 et 3096). Se pose ainsi la question de la validité du contrat de gage du 5 août 1988 conclu entre l'intimée et la société AF______ SA, laquelle est contestée par l'appelante. 7.2 Il convient au préalable de déterminer le droit applicable audit contrat. En principe, la loi applicable au contrat est déterminée librement par les parties. Si les parties ont omis ou renoncé à choisir le droit applicable à leurs relations juridiques, sa détermination se fera grâce à des règles de conflit dites objectives. Avant l'entrée en vigueur de la LDIP, il s'agissait du droit de l'Etat avec lequel le contrat présentait le lien le plus étroit. En matière de nantissement, la doctrine considère que le statut contractuel doit suivre le statut réel en l'absence d'élection de droit (FOEX, Le contrat de droit de gage mobilier, 1997, nos 340 ss). Il a été rappelé à cet égard qu'en droit international privé suisse, le droit applicable à la constitution d'un droit de gage sur une chose mobilière située en Suisse est le droit suisse (FOEX, op. cit., no 341). L'intimée ainsi que les société AF______ SA et BC______ ont expressément soumis les contrats de prêt du 5 août 1988 au droit suisse (clause VI C). Le contrat général de nantissement signé par AF______ SA en faveur de la banque, portant expressément sur les deux pièces d'or en garantie des prêts accordés, ne contient pas d'élection de droit, mais renvoie aux conditions générales de la Banque, lesquelles soumettent le contrat au droit suisse; par conséquent, le droit suisse s'applique au contrat quant à sa validité. 7.3 L'appelante conteste toutefois la validité du contrat au motif qu'il porterait sur un objet exporté illicitement selon le droit H______, lequel devrait être pris en considération par le juge suisse en application de l'article 19 LDIP ou en vertu de l'ordre public universel, ce qui rendrait de ce fait le contrat nul de plein droit. La Cour ne partage pas cette opinion. Selon l'article 19 al. 1 LDIP, lorsque des intérêts légitimes et manifestement prépondérants au regard de la conception suisse du droit l'exigent, une disposition impérative d'un autre droit que celui désigné par la loi peut être prise en considération, si la situation visée présente un lien étroit avec ce droit. En vertu de l'article 19 al. 2 LDIP, le juge n'est pas obligé d'appliquer le droit étranger, mais doit procéder à l'évaluation de la règle étrangère (KNOEPFLER, op. cit., p. 359; DUTOIT, op. cit., n. 5 ad art. 19 LDIP). Toutefois, l'application de l'article 19 LDIP doit rester exceptionnelle de par sa ratio legis et ne vise que les personnes privées. Le problème de la restitution à l'Etat d'origine d'oeuvres illicitement exportées et appartenant à son patrimoine culturel relève davantage du droit public et des conventions internationales que du droit international privé (DUTOIT, Commentaire de la LDIP, n. 4 ad art. 19 et n. 10 ad art. 100 LDIP; HEINI, op. cit., n. 31 ad art. 100 LDIP). Ainsi, dans le cas d'espèce, le recours à l'article 19 LDIP ne saurait s'appliquer et, de toutes façons, ne serait d'aucune aide à l'appelante, dès lors que même si la loi H______ contre les exportations illicites d'antiquités pouvait être considérée comme une loi d'application immédiate, elle n'impose pas d'elle-même le principe de nullité du contrat portant sur de tels objets. 7.4 Il convient enfin d'examiner si le contrat de gage pourrait être considéré comme nul au sens de l'article 20 CO, car portant atteinte aux bonnes moeurs. Les tribunaux suisses ont en général décidé qu'un contrat dont l'exécution implique en lui-même une violation essentielle ou subsidiaire du droit public étranger non applicable n'entraîne pas le caractère d'immoralité prévu à l'article 20 CO lorsque ledit contrat est soumis au droit suisse. Cette manière de voir a été critiquée par une certaine partie de la doctrine qui considère qu'elle ne tient pas suffisamment compte de ce que peut être l'ordre public international dans lequel la protection des biens culturels pourrait être inscrite (HEINI, op. cit., n. 32 ad art. 100 LDIP; KNOEPFLER, op. cit., p. 381). L'appelante estime que cet ordre public international trouverait son expression dans deux conventions internationales, celle de l'UNESCO du 14 novembre 1970 concernant les mesures à prendre pour interdire et empêcher l'importation, l'exportation et le transfert de propriété illicites de biens culturels et la Convention UNIDROIT du 24 juin 1995 sur les biens culturels volés ou illicitement exportés, lesquelles tendent à assurer leur restitution à leur État d'origine, à certaines conditions, cela même si dans l'intervalle une acquisition de bonne foi est intervenue (art. 7 Convention UNESCO; art. 3-6 Convention UNIDROIT). La Suisse a signé la Convention UNIDROIT le 26 juin 1996, mais ne l'a pas ratifiée. S'agissant de la Convention de l'UNESCO, le projet d'arrêté fédéral visant à ratifier la Convention, ainsi que le projet de loi sur les transferts des biens culturels mettant en oeuvre ladite Convention ont certes été votés le 20 juin 2003 par le Parlement, mais ne sont pas encore entrés en vigueur et n'auront de toute façon pas d'application rétroactive (JAAC-VPB 62-78, Office fédéral de la justice, 2 février 1998; GEISINGER-MARIETHOZ, Le Projet de ratification par la Suisse de la Convention de l'UNESCO, in RDS 2000 p. 273 et ss). Ainsi, si on peut admettre, au vu des nombreuses conventions internationales signées en la matière, que le principe de la protection des biens culturels volés et celui de l'existence d'un droit pour l'Etat d'origine de biens culturels exportés illicitement à leur restitution constituent des expressions d'un ordre public international en vigueur ou en formation (ATF 123 II 134 , 143-144) et fera prochainement partie de l'ordre juridique suisse, ce droit n'est en tout cas pas illimité et inconditionnel et n'est pour l'instant pas applicable en Suisse. De plus, de tels principes n'impliquent pas encore forcément la nullité absolue d'un contrat soumis au droit suisse qui contreviendrait à une règle de droit public étranger, telle que la loi H______ sur l'interdiction des exportations illicites d'antiquités dont se prévaut l'appelante. On relèvera enfin qu'il n'a pas été établi par la procédure pénale H______ que les pièces d'or ont été illégalement transportées en Suisse, ni que l'appelante en est le réel propriétaire. Partant, le seul droit applicable à la validité du contrat de gage conclu entre l'intimée et AF______ SA est le droit suisse et a été respecté. 8.1 L'appelante a également formé des conclusions en restitution des pièces d'or fondées sur l'action possessoire de droit suisse régie par les articles 934 et ss CC, applicables en vertu des principes déjà rappelés (cons. 4.1). Il est établi et non contesté que l'appelante n'est pas le possesseur actuel des pièces litigieuses. Elle ne peut par conséquent bénéficier sur le plan judiciaire que des actions à effet offensif, lesquelles sont ouvertes à tout possesseur antérieur de la chose, à savoir l'action mobilière du possesseur dépossédé sans sa volonté (art. 934 CC) et l'action mobilière contre l'acquéreur de mauvaise foi (art. 936 CC) (STEINAUER, op. cit., nos 455 ss). Il appert d'emblée que l'action fondée sur l'article 934 CC est périmée, la date de la perte de possession invoquée par l'appelante étant arrêtée de son aveu même au moment où le dernier F______ a cessé toute fonction officielle au nom de A______, soit en 1956. Plus de cinq ans se sont donc écoulés avant l'introduction de la présente action. 8.2 Il reste donc à examiner si l'appelante peut obtenir la restitution des pièces d'or fondée sur l'action mobilière contre un acquéreur de mauvaise foi (art. 936 CC), laquelle est illimitée dans le temps et appartient à tout possesseur antérieur, qu'il ait été dessaisi sans sa volonté ou qu'il ait confié la chose (ATF 109 II 202 = JdT 1985 II 50; STEINAUER, op. cit., no 477). La qualité de possesseur antérieur de l'appelante a été niée par le premier juge, lequel a appliqué le droit suisse à titre supplétif, vu l'impossibilité d'établir le droit H______ (art. 16 al. 1 LDIP), malgré l'invitation faite à l'appelante d'établir le contenu de ce droit. Le Tribunal a estimé que n'ayant pas pu prouver qu'elle était devenue propriétaire des pièces, l'appelante n'avait pu en acquérir la possession, même médiate par constitut possessoire. La question de la qualité de possesseur antérieur de l'appelante et celle du droit applicable à cette question peuvent toutefois rester indécises, dans la mesure où l'une des conditions matérielles de l'action fondée sur 936 CC, soit la mauvaise foi de l'acquéreur, n'est pas réalisée dans le cas d'espèce. En effet, pour déterminer s'il y a ou non acquisition de mauvaise foi au sens de l'article 936 CC, les principes de l'article 933 CC sont applicables (STEINAUER, op. cit., no 480). Or, il n'a pas été démontré que la banque aurait acquis la possession des pièces d'or de mauvaise foi. L'action possessoire doit donc être aussi rejetée. 9. L'appelante qui succombe sera condamnée aux dépens de deuxième instance (art. 176 al. 1 LPC). P a r c e s m o t i f s L a C o u r : A la forme : Déclare recevable l'appel interjeté par A______ contre le jugement JTPI/9593/2002 rendu le 12 septembre 2002 par le Tribunal de première instance dans la cause C/14603/1997-10. Au fond : Confirme ce jugement. Condamne A______ aux dépens d'appel, lesquels comprennent une H______mnité de procédure de 20'000 fr. constituant une participation aux honoraires de l'avocat de C______ (Suisse) SA. Déboute les parties de toutes autres conclusions. Siégeant : M. Richard Barbey, président; Mme Renate Pfister-Liechti et M. Jean Ruffieux, juges; Mme Nathalie Deschamps,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