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C/14549/2013 vom 30. Mai 2014</w:t>
      </w:r>
    </w:p>
    <w:p>
      <w:r>
        <w:t>GE Cour de justice, 2014-05-30, FR</w:t>
      </w:r>
    </w:p>
    <w:p>
      <w:r>
        <w:rPr>
          <w:b/>
        </w:rPr>
        <w:t xml:space="preserve">Quelle: </w:t>
      </w:r>
      <w:r>
        <w:t>https://mcp.opencaselaw.ch/entscheid/ge_gerichte_C_14549_2013</w:t>
      </w:r>
    </w:p>
    <w:p>
      <w:r>
        <w:t>FR: GE_GERICHTE C/14549/2013 du 30 mai 2014</w:t>
      </w:r>
    </w:p>
    <w:p>
      <w:r>
        <w:t>IT: GE_GERICHTE C/14549/2013 del 30 maggio 2014</w:t>
      </w:r>
    </w:p>
    <w:p>
      <w:pPr>
        <w:pStyle w:val="Heading2"/>
      </w:pPr>
      <w:r>
        <w:t>Regeste</w:t>
      </w:r>
    </w:p>
    <w:p>
      <w:r>
        <w:t>PROTECTION DE L'UNION CONJUGALE; VISITE; OBLIGATION D'ENTRETIEN; ENFANT | CPC.316.3; CC.176.3; CC.176.1</w:t>
      </w:r>
    </w:p>
    <w:p>
      <w:pPr>
        <w:pStyle w:val="Heading2"/>
      </w:pPr>
      <w:r>
        <w:t>Erwägungen</w:t>
      </w:r>
    </w:p>
    <w:p>
      <w:r>
        <w:rPr>
          <w:b/>
        </w:rPr>
        <w:t>E. 1.1</w:t>
      </w:r>
    </w:p>
    <w:p>
      <w:r>
        <w:t>L'appel est recevable contre les décisions de première instance sur mesures provisionnelles (art. 308 al. 1 let. b CPC) dans les causes non patrimoniales ou dont la valeur litigieuse, au dernier état des conclusions de première instance, est de 10'000 fr. au moins (art. 308 al. 2 CPC). 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rPr>
          <w:b/>
        </w:rPr>
        <w:t>E. 1.2</w:t>
      </w:r>
    </w:p>
    <w:p>
      <w:r>
        <w:t>Dès lors qu'en l'espèce, le litige porte sur les droits parentaux, ainsi que sur les questions patrimoniales qui y sont liées, soit sur une affaire non pécuniaire dans son ensemble, l'appel est ouvert indépendamment de la valeur litigieuse (arrêt du Tribunal fédéral 5A_765/2012 du 19 février 2013 consid. 1.1). Formé dans le délai et selon la forme prescrits par la loi par une partie qui y a intérêt (art. 59 al. 2 let. a CPC), l'appel déposé par acte du 30 janvier 2014 est recevable.</w:t>
      </w:r>
    </w:p>
    <w:p>
      <w:r>
        <w:rPr>
          <w:b/>
        </w:rPr>
        <w:t>E. 2</w:t>
      </w:r>
    </w:p>
    <w:p>
      <w:r>
        <w:t>Les parties étant toutes deux de nationalité étrangère, la présente cause revêt un caractère international. Dans la mesure où les parties et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ce qui n'est au demeurant pas contesté par les parties.</w:t>
      </w:r>
    </w:p>
    <w:p>
      <w:r>
        <w:rPr>
          <w:b/>
        </w:rPr>
        <w:t>E. 3</w:t>
      </w:r>
    </w:p>
    <w:p>
      <w:r>
        <w:t>3.1 S'agissant d'un appel, la Cour revoit la cause avec un plein pouvoir d'examen en fait et en droit (art. 310 CPC). Dans la mesure des conclusions prises en appel (art. 315 al. 1 CPC), la Cour établit les faits d'office et n'est pas liée par les conclusions des parties en relation avec les enfants mineurs (art. 296 al. 1 et 3 CPC).</w:t>
      </w:r>
    </w:p>
    <w:p>
      <w:r>
        <w:rPr>
          <w:b/>
        </w:rPr>
        <w:t>E. 3.2</w:t>
      </w:r>
    </w:p>
    <w:p>
      <w:r>
        <w:t>La cognition du juge est limitée à la simple vraisemblance des faits et à un examen sommaire du droit, l'exigence de célérité étant privilégiée par rapport à celle de sécurité (Hohl, Procédure civile, Tome II, Berne, 2010, n. 1901; Haldy, La nouvelle procédure civile suisse, Bâle,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3.3</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2.2; 138 III 374 consid. 4.3.1-4.3.2; arrêt du Tribunal fédéral 5A_906/2012 du 18 avril 2013 consid. 5.1.2).</w:t>
      </w:r>
    </w:p>
    <w:p>
      <w:r>
        <w:rPr>
          <w:b/>
        </w:rPr>
        <w:t>E. 3.4</w:t>
      </w:r>
    </w:p>
    <w:p>
      <w:r>
        <w:t>En l'espèce, l’appelante conclut préalablement à ce qu'il soit ordonné à l'intimé de produire ses relevés de comptes bancaires des quatre dernières années, afin d'établir le niveau de vie réel de ce dernier, et à ce que le SPMi soit invité à rendre un complément à son rapport, pour qu'il puisse se prononcer sur le droit de visite de l'intimé. En l'occurrence, les parties ont produit leurs déclarations d'impôts pour l'année 2012, ainsi que les fiches de salaires de B______ des mois de juin, juillet et août 2013. Par ailleurs, le SPMi a fait état du contexte relationnel particulièrement tendu entre les époux, mais également du besoin de C______ de maintenir une relation régulière et fréquente avec son père. La Cour se considère, à ce stade de la procédure et compte tenu de la nature sommaire de celle-ci, suffisamment renseignée sur la situation financière de l'intimé, ainsi que sur la situation de l'enfant en vue de se déterminer sur les relations personnelles. Il ne se justifie dès lors pas de donner une suite favorable à la demande de production de pièces et de complément de rapport formulée par l'appelante.</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2011, p. 1394; Tappy, Les voies de droit du nouveau Code de procédure civile, in JdT 2010 III p. 115 ss, p. 139).</w:t>
      </w:r>
    </w:p>
    <w:p>
      <w:r>
        <w:rPr>
          <w:b/>
        </w:rPr>
        <w:t>E. 4.2</w:t>
      </w:r>
    </w:p>
    <w:p>
      <w:r>
        <w:t>En espèce, les pièces nouvelles produites par les parties en appel - en tant qu'elles se rapportent au calcul de la contribution due par l'intimé à l'entretien de sa famille, laquelle comporte un enfant - sont recevables.</w:t>
      </w:r>
    </w:p>
    <w:p>
      <w:r>
        <w:rPr>
          <w:b/>
        </w:rPr>
        <w:t>E. 5</w:t>
      </w:r>
    </w:p>
    <w:p>
      <w:r>
        <w:t>L'appelante s'oppose aux modalités du droit de visite telles que fixées par le premier juge.</w:t>
      </w:r>
    </w:p>
    <w:p>
      <w:r>
        <w:rPr>
          <w:b/>
        </w:rPr>
        <w:t>E. 5.1</w:t>
      </w:r>
    </w:p>
    <w:p>
      <w:r>
        <w:t>Lorsque les époux ont des enfants mineurs, le juge règle les relations personnelles entre le parent non gardien et l'enfant, dans le cadre de l'organisation de la vie séparée des conjoints, en se basant sur les dispositions régissant les effets de la filiation (art. 176 al. 3  et 273 ss CC). Le droit aux relations personnelles - qui est considéré comme un droit de la personnalité de l'enfant et qui doit servir en premier lieu l'intérêt de celui-ci (ATF 131 III 209 consid. 5; 127 III 295 consid. 4a; 123 III 445 consid. 3b) - vise à sauvegarder le lien existant entre parents et enfants (Hegnauer, Droit suisse de la filiation, 4e éd., Berne, 1998, n. 19.20, p. 116). Le Tribunal fédéral relève à cet égard qu'il est unanimement reconnu que le rapport de l'enfant avec ses deux parents est essentiel et qu'il peut jouer un rôle décisif dans le processus de recherche d'identité de l'enfant (ATF 130 III 585 consid. 2.2.2; 127 III 295 consid. 4a; 123 III 445 consid. 3c). Le bien de l'enfant ne doit pas seulement être apprécié d'un point de vue subjectif au regard du bien-être momentané de celui-ci, mais aussi de façon objective, au regard de son développement futur (arrêt du Tribunal fédéral 5A_341/2008 du 23 décembre 2008 consid. 4.3).</w:t>
      </w:r>
    </w:p>
    <w:p>
      <w:r>
        <w:rPr>
          <w:b/>
        </w:rPr>
        <w:t>E. 5.2</w:t>
      </w:r>
    </w:p>
    <w:p>
      <w:r>
        <w:t>En l'espèce, devant le premier juge, les parties s'étaient accordées sur le fait que C______ pouvait être confié à l'intimé tous les après-midi, du lundi au vendredi de 14h00 à 18h00, ainsi qu'un dimanche sur deux de 10h00 à 18h00. Le SPMi a confirmé dans son rapport que ces modalités étaient conformes à l'intérêt de l'enfant. Il précisait à cet égard que, par le biais de l'instauration d'une mesure de droit de regard et d'information, il serait en mesure d'évaluer, dans la durée, l'adéquation des modalités proposées en se basant sur une observation plus rapprochée de l'évolution de l'enfant. Mise à part l'invocation de la nécessité d'un complément au rapport du SPMi à la suite de la survenue, fin 2013, d'importantes difficultés entre les parties lorsque l'enfant était ramené à son domicile, l'appelante n'explique pas en quoi le droit de visite de l'intimé, tel qu'il a été fixé par le premier juge, serait néfaste pour l'enfant et pourquoi il devrait être restreint à un week-end sur deux. Aucun élément ne rend au demeurant vraisemblable que le père serait inadéquat dans la prise en charge de l'enfant durant la semaine. Au vu de ce qui précède, les modalités du droit de visite seront donc confirmées.</w:t>
      </w:r>
    </w:p>
    <w:p>
      <w:r>
        <w:rPr>
          <w:b/>
        </w:rPr>
        <w:t>E. 6</w:t>
      </w:r>
    </w:p>
    <w:p>
      <w:r>
        <w:t>L'appelante conteste ensuite le montant de la contribution d'entretien de la famille telle qu'elle a été fixée par le premier juge.</w:t>
      </w:r>
    </w:p>
    <w:p>
      <w:r>
        <w:rPr>
          <w:b/>
        </w:rPr>
        <w:t>E. 6.1</w:t>
      </w:r>
    </w:p>
    <w:p>
      <w:r>
        <w:t>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ou que des circonstances importantes justifient de s'en écarter (ATF 119 II 314 consid. 4b/bb; arrêt du Tribunal fédéral 5A_46/2009 précité consid. 4). Les impôts courants sont pris en considération dans le minimum vital seulement lorsque les conditions financières sont favorables (arrêts du Tribunal fédéral 5A_508/2011 du 21 novembre 2011 consid. 4.2.5; 5A_511/2010 du 4 février 2011 consid. 2.2.3). Le minimum vital du débirentier doit en principe être préservé (ATF 135 III 66 consid. 10; arrêt du Tribunal fédéral 5A_634/2013 du 12 mars 2014 consid. 3.1.2). Fait partie du minimum vital, notamment, le coût d'entretien d'un enfant mineur d'un premier lit dont le crédirentier a la garde (cf. Bastons Buletti, L'entretien après divorce : méthode de calcul, montant, durée et limites, in SJ 2007 II p. 77 ss, p. 87). Le juge dispose d'un large pouvoir d'appréciation dans la fixation du montant de la contribution d'entretien (art. 4 CC).</w:t>
      </w:r>
    </w:p>
    <w:p>
      <w:r>
        <w:rPr>
          <w:b/>
        </w:rPr>
        <w:t>E. 6.2</w:t>
      </w:r>
    </w:p>
    <w:p>
      <w:r>
        <w:t>L'appelante fait grief au premier juge de ne pas avoir imputé à l'intimé un revenu hypothétique net de 4'249 fr. 15 par mois. L'intimé percevrait une partie de son salaire au noir, montant que l'appelante estime à 1'000 fr. par mois, au vu du contrat de travail du 7 mai 2010. A cela devrait s'ajouter les 350 fr. de frais de nourriture qui sont déduits mensuellement du salaire de l'intimé, mais qu'il économiserait sur son minimum vital.</w:t>
      </w:r>
    </w:p>
    <w:p>
      <w:r>
        <w:rPr>
          <w:b/>
        </w:rPr>
        <w:t>E. 6.2.1</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arrêts du Tribunal fédéral 5A_99/2011 du 26 septembre 2011 consid. 7.4.1 non publié aux ATF 137 III 604 ; 5A_449/2013 du 21 janvier 2014 consid. 3.3.1).</w:t>
      </w:r>
    </w:p>
    <w:p>
      <w:r>
        <w:rPr>
          <w:b/>
        </w:rPr>
        <w:t>E. 6.2.2</w:t>
      </w:r>
    </w:p>
    <w:p>
      <w:r>
        <w:t>En l'espèce, l'intimé travaille à plein temps et réalise un revenu brut de 4'333 fr. par mois, tel que cela découle de son certificat de salaire et de sa déclaration d'impôts pour l'année 2012 [52'000 fr. / 12], ainsi que de ses fiches de salaire des mois de juin, juillet et août 2013. En l'état, les pièces produites les plus actuelles ainsi que le contrat de travail ne rendent pas vraisemblable un revenu supérieur perçu effectivement par l'intimé. C'est donc à bon droit que le premier juge n'a pas basé son calcul sur un revenu supérieur. Les charges incompressibles de l'intimé s'élèvent à 3'320 fr. 35 par mois, soit 1'200 fr. d'entretien de base selon les normes d'insaisissabilité, 1'609 fr. de loyer, charges comprises, 361 fr. 35 de prime d'assurance-maladie (prime pour l'année 2014) et 150 fr. d'impôt (simulation effectuée sur le site de l'administration fiscale cantonale). Vu son revenu mensuel net de 3'369 fr. 70, auquel s'ajoute 350 fr. pour les frais de nourriture déjà retenus dans le montant de son entretien de base, la capacité contributive de l'intimé équivaut à 399 fr. 35 par mois ([3'369 fr. 70 + 350 fr.] – 3'320 fr. 35).</w:t>
      </w:r>
    </w:p>
    <w:p>
      <w:r>
        <w:rPr>
          <w:b/>
        </w:rPr>
        <w:t>E. 6.3</w:t>
      </w:r>
    </w:p>
    <w:p>
      <w:r>
        <w:t>L'appelante fait grief au premier juge d'avoir estimé le montant de ses charges de façon erronée, en omettant de prendre en compte les coûts relatifs à sa fille mineure, E______, ainsi que les autres charges qu'elle alléguait dans la mesure où les époux sont dans une situation financière moyenne.</w:t>
      </w:r>
    </w:p>
    <w:p>
      <w:r>
        <w:rPr>
          <w:b/>
        </w:rPr>
        <w:t>E. 6.3.1</w:t>
      </w:r>
    </w:p>
    <w:p>
      <w:r>
        <w:t>Les coûts d'entretien de E______, enfant mineure de l'appelante dont elle a la garde, font partie du minimum vital de cette dernière. E______ étant encore en formation, il ne lui sera pas imputé de revenu hypothétique, comme le requiert l'intimé. Le poste allégué par l'appelante pour la redevance Billag est compris dans son entretien de base et sera donc écarté. Par ailleurs, l'appelante travaillant à plein temps, il est vraisemblable qu'elle continuera à faire appel à une maman de jour pour s'occuper de C______. C'est pourquoi, en l'état, il sera tenu compte des frais de garde dans ses charges. Dès lors, les charges incompressibles de l'appelante s'élèvent à 4'649 fr. 20 par mois, soit 1'950 fr. d'entretien de base selon les normes d'insaisissabilité (1'350 fr. pour elle et 600 fr. pour E______), 1'461 fr. de loyer ([70 % pour elle et 15 % pour E______ de 1'718 fr.), charges comprises, 115 fr. de parking, 23 fr. 50 de prime d'assurance responsabilité civile ménage, 461 fr. 95 de prime d'assurance-maladie pour elle (prime pour l'année 2014), 131 fr. 25 de prime d'assurance-maladie pour E______ et 506 fr. 50 d'impôt (estimation admise par les parties). Les charges incompressibles de C______ s'élèvent à 1'488 fr. 45, soit 400 fr. d'entretien de base selon les normes d'insaisissabilité, 257 fr. de loyer (15% de 1'718 fr.), charges comprises, 171 fr. 45 de prime d'assurance maladie (prime pour l'année 2014) et 660 fr. de frais de garde, dont il convient de déduire 300 fr. d'allocations familiales. Compte tenu des revenus et des charges retenus ci-dessus, la famille fait face à un bénéfice mensuel de l'ordre de 126 fr. 50 (5'964 fr. + 300 fr. – 4'649 fr. 20 – 1'488 fr. 45). En leur attribuant les deux tiers du solde disponible, l'appelante et l'enfant auraient droit à un montant de 225 fr. ([399 fr. 35 + 126 fr.50] x 2/3 – 126 fr. 50). L'intimé s'étant engagé à verser une somme de 250 fr. par mois en faveur de l'appelante et de l'enfant C______ et son disponible s'élevant à 399 fr. 35 par mois, c'est à bon droit que le premier juge l'a condamné à verser en main de l'appelante un montant de 250 fr. par mois, à titre de contribution à l'entretien de la famille, avec effet au 1er septembre 2013. Le solde mensuel de 149 fr. 35 dont disposera l'intimé après le paiement de cette contribution lui permettra de contribuer à l'entretien de F______ dans une mesure raisonnable eu égard à ses revenus et aux coûts de la vie en Inde (cf. UBS, Prix et salaires dans le monde, édition 2012, p. 8). Au vu de ce qui précède, le jugement querellé sera entièrement confirmé.</w:t>
      </w:r>
    </w:p>
    <w:p>
      <w:r>
        <w:rPr>
          <w:b/>
        </w:rPr>
        <w:t>E. 7</w:t>
      </w:r>
    </w:p>
    <w:p>
      <w:r>
        <w:t>Les frais judiciaires de l'appel seront mis à la charge de l'appelante, qui succombe (art. 95 et 106 al. 1 CPC). L'émolument de décision sera fixé à 800 fr. (art. 31 et 37 du Règlement fixant le tarif des frais en matière civile [RTFMC; E 1 05.10]) et sera compensé avec l'avance de frais de même montant fournie par l'appelante, qui reste acquise à l'Etat (art. 111 al. 1 CPC). Pour des motifs d'équité liés à la nature du litige, les parties conserveront leurs propres dépens à leur charge (art. 95 al. 1 let. b et al. 3, 104 al. 1, 105 al. 2 et 107 al. 1 let. c CPC). * * * * * PAR CES MOTIFS, La Chambre civile : A la forme : Déclare recevable l'appel interjeté par A______ contre le jugement JTPI/752/14 rendu le 14 janvier 2014 par le Tribunal de première instance dans la cause C/14549/2013-18. Au fond : Confirme le jugement entrepris. Déboute les parties de toutes autres conclusions. Sur les frais : Arrête les frais judiciaires d'appel à 800 fr., les met à la charge de A______ et dit qu'ils sont compensés avec l'avance de frais du même montant, qui reste acquise à l'Etat. Dit que chaque partie supporte ses propres dépens d'appel. Siégeant : Madame Florence KRAUSKOPF, présidente; Madame Sylvie DROIN et Madame Alix FRANCOTTE CONUS,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