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C/14465/2016 vom 15. Februar 2018</w:t>
      </w:r>
    </w:p>
    <w:p>
      <w:r>
        <w:t>GE Cour de justice, 2018-02-15, FR</w:t>
      </w:r>
    </w:p>
    <w:p>
      <w:r>
        <w:rPr>
          <w:b/>
        </w:rPr>
        <w:t xml:space="preserve">Quelle: </w:t>
      </w:r>
      <w:r>
        <w:t>https://mcp.opencaselaw.ch/entscheid/ge_gerichte_C_14465_2016</w:t>
      </w:r>
    </w:p>
    <w:p>
      <w:r>
        <w:t>FR: GE_GERICHTE C/14465/2016 du 15 février 2018</w:t>
      </w:r>
    </w:p>
    <w:p>
      <w:r>
        <w:t>IT: GE_GERICHTE C/14465/2016 del 15 febbraio 2018</w:t>
      </w:r>
    </w:p>
    <w:p>
      <w:pPr>
        <w:pStyle w:val="Heading2"/>
      </w:pPr>
      <w:r>
        <w:t>Regeste</w:t>
      </w:r>
    </w:p>
    <w:p>
      <w:r>
        <w:t>CPC.315</w:t>
      </w:r>
    </w:p>
    <w:p>
      <w:pPr>
        <w:pStyle w:val="Heading2"/>
      </w:pPr>
      <w:r>
        <w:t>Volltext</w:t>
      </w:r>
    </w:p>
    <w:p>
      <w:r>
        <w:t>Genf Cour de Justice (Cour civile) Chambre civile 13.04.2018 C/14465/2016 Genève Cour de Justice (Cour civile) Chambre civile 13.04.2018 C/14465/2016 Ginevra Cour de Justice (Cour civile) Chambre civile 13.04.2018 C/14465/2016</w:t>
      </w:r>
    </w:p>
    <w:p>
      <w:r>
        <w:t>C/14465/2016 ACJC/459/2018 du 13.04.2018 sur JTPI/2619/2018 ( SDF ) Normes : CPC.315 Par ces motifs RÉPUBLIQUE ET CANTON DE GENÈVE POUVOIR JUDICIAIRE C/14465/2016 ACJC/459/2018 ARRÊT DE LA COUR DE JUSTICE Chambre civile du VENDREDI 13 AVRIL 2018 Entre Monsieur A______, domicilié ______, appelant d'un jugement rendu par la 14ème Chambre du Tribunal de première instance de ce canton le 15 février 2018, comparant par M e Philippe Ehrenström, avocat, boulevard des Tranchées 6, 1205 Genève, en l'étude duquel il fait élection de domicile, et Madame B______, domiciliée ______, intimée, comparant en personne. Attendu, EN FAIT , que par jugement du 15 février 2018, le Tribunal de première instance, statuant sur mesures protectrices de l'union conjugale, a, notamment, condamné A______ à verser en mains de B______, dès le 1 er septembre 2017, par mois et d'avance, le montant de 1'700 fr. à titre de contribution à l'entretien de C______ ainsi que le montant de 19'877 fr. à titre d'arriéré de contribution à l'entretien du précité pour la période de septembre 2016 à août 2017 (ch. 5), arrêté les frais judiciaires à 829 fr. 60, répartit ceux-ci entre les parties, par moitié chacune, condamnant en conséquence A______ à payer à B______ le montant de 414 fr. 80 (ch. 6), dit qu'il n'était pas alloué de dépens (ch. 7) et débouté les parties de toutes autres conclusions (ch. 8); Que par acte expédié au greffe de la Cour le 26 février 2018, A______ a formé appel contre les chiffres précités du dispositif du jugement du 15 février 2018; qu'il a conclu à leur annulation, à ce qu'il soit dit qu'il ne devait pas verser le montant de 1'700 fr. à titre de contribution à l'entretien de C______ ni le montant de 19'877 fr. à titre d'arriéré de contribution, qu'il ne devait pas verser de contribution pour l'entretien de ses enfants et à ce que B______ soit déboutée de toutes autres conclusions; Qu'il a conclu, préalablement, à la restitution de l'effet suspensif à son appel; qu'il a invoqué à cet égard qu'il ne disposait pas des moyens financier pour payer les arriérés ou la contribution d'entretien courante fixés par le Tribunal; que l'intimée disposait en outre d'un disponible mensuel de plus de 5'000 fr.; Que l'intimée ne s'est pas déterminée sur la requête d'effet suspensif dans le délai qui lui avait été imparti;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le juge prendra également en considération les chances de succès du recours (ATF 115 Ib 157 consid. 2; arrêt du Tribunal fédéral 4D_30/2010 du 25 mars 2010 consid. 2.3); Qu'en l'espèce, l'intimée ne s'est pas opposée à l'octroi de l'effet suspensif à l'appel dans le délai imparti; Qu'il ressort du jugement du Tribunal que l'intimée n'avait pas persisté dans ses conclusions tendant au paiement d'une contribution à l'entretien de l'enfant; Qu'il ne peut être considéré à ce stade, prima facie , que l'appel est manifestement dépourvu de toute chance de succès; Qu'au vu de l'ensemble des circonstances, la requête de l'appelant tendant à la suspension du caractère exécutoire du jugement attaqué sera admise; Qu'il sera statué sur les frais et dépens liés à la présente décision avec la décision au fond (art. 104 al. 3 CPC). * * * * * * PAR CES MOTIFS, La Chambre civile : Statuant sur requête de suspension du caractère exécutoire du jugement entrepris : Admet la requête formée par A______ tendant à suspendre le caractère exécutoire du jugement JTPI/2619/2018 rendu le 15 février 2018 par le Tribunal de première instance dans la cause C/14465/2016.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