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C/14421/2019 vom 26. August 2025</w:t>
      </w:r>
    </w:p>
    <w:p>
      <w:r>
        <w:t>GE Cour de justice, 2025-08-26, FR</w:t>
      </w:r>
    </w:p>
    <w:p>
      <w:r>
        <w:rPr>
          <w:b/>
        </w:rPr>
        <w:t xml:space="preserve">Quelle: </w:t>
      </w:r>
      <w:r>
        <w:t>https://mcp.opencaselaw.ch/entscheid/ge_gerichte_C_14421_2019</w:t>
      </w:r>
    </w:p>
    <w:p>
      <w:r>
        <w:t>FR: GE_GERICHTE C/14421/2019 du 26 août 2025</w:t>
      </w:r>
    </w:p>
    <w:p>
      <w:r>
        <w:t>IT: GE_GERICHTE C/14421/2019 del 26 agosto 2025</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1'300'000 fr. La voie de l'appel est dès lors ouverte.</w:t>
      </w:r>
    </w:p>
    <w:p>
      <w:r>
        <w:rPr>
          <w:b/>
        </w:rPr>
        <w:t>E. 1.3</w:t>
      </w:r>
    </w:p>
    <w:p>
      <w:r>
        <w:t>Interjeté dans le délai utile de trente jours, dans la forme écrite prévue par la loi (art. 130, 131, 142 al. 1, 145 al. 1 let. b et 311 al. 1 CPC) et auprès de l'autorité compétente (art. 120 al. 1 let. a LOJ), l'appel est recevable.</w:t>
      </w:r>
    </w:p>
    <w:p>
      <w:r>
        <w:rPr>
          <w:b/>
        </w:rPr>
        <w:t>E. 1.4</w:t>
      </w:r>
    </w:p>
    <w:p>
      <w:r>
        <w:t>S'agissant d'un appel, la Cour revoit la cause avec un plein pouvoir d'examen (art. 310 CPC). Elle applique la maxime des débats et le principe de disposition (art. 55 al. 1, 58 al. 1, 243 al. 1 et 247 al. 1 CPC).</w:t>
      </w:r>
    </w:p>
    <w:p>
      <w:r>
        <w:rPr>
          <w:b/>
        </w:rPr>
        <w:t>E. 1.5</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2</w:t>
      </w:r>
    </w:p>
    <w:p>
      <w:r>
        <w:t>L'appelante produit six pièces nouvelles, soit la traduction libre du néerlandais au français des pièces 32 à 34, 36, 42 et 43 qu'elle avait déposées en première instance (pièces 102 à 107), ainsi que l'arrêt CAPH/125/2023 rendu le 21 novembre 2023 par la Chambre des prud'hommes de la Cour dans la cause C/1______/2028-4 l'ayant opposée à l'intimé (pièce 108, laquelle correspond à son titre 62 déclaré irrecevable par le Tribunal).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qui sont immédiatement connus du tribunal ("gerichtsnotorische Tatsachen"), notamment parce qu'ils ressortent d'une autre procédure entre les mêmes parties, constituent des faits notoires qui n'ont pas à être allégués ni prouvés (art. 151 CPC; ATF 143 II 224 consid. 5.1; arrêt du Tribunal fédéral 5A_252/2021 du 8 novembre 2021 consid. 2.3).</w:t>
      </w:r>
    </w:p>
    <w:p>
      <w:r>
        <w:rPr>
          <w:b/>
        </w:rPr>
        <w:t>E. 2.2</w:t>
      </w:r>
    </w:p>
    <w:p>
      <w:r>
        <w:t>Ainsi, les faits résultant de l'arrêt de la Cour du 21 novembre 2023, ainsi que l'arrêt lui-même, sont recevables. Ils ont été pris en compte dans la mesure utile dans la partie « En fait » ci-dessus. La recevabilité des traductions produites par l'appelante peut demeurer indécise, dans la mesure où les pièces en question ne sont pas déterminantes pour la solution du litige.</w:t>
      </w:r>
    </w:p>
    <w:p>
      <w:r>
        <w:rPr>
          <w:b/>
        </w:rPr>
        <w:t>E. 3</w:t>
      </w:r>
    </w:p>
    <w:p>
      <w:r>
        <w:t>Les intimés font grief au Tribunal d'avoir considéré que l'appelante et l'intimé ont été liés par un contrat de mandat. Ils estiment que ni le Tribunal ni la Chambre civile de la Cour ne seraient compétents pour connaître du litige, qui relèverait du contrat de travail. L'appelante fait référence à ce sujet à l'arrêt de la Chambre des prud'hommes de la Cour sur 21 novembre 2023, en relevant qu'il y aurait lieu d'éviter des décisions contradictoires.</w:t>
      </w:r>
    </w:p>
    <w:p>
      <w:r>
        <w:rPr>
          <w:b/>
        </w:rPr>
        <w:t>E. 3.1</w:t>
      </w:r>
    </w:p>
    <w:p>
      <w:r>
        <w:t>L'autorité de la chose jugée interdit de remettre en cause, dans une nouvelle procédure divisant les mêmes parties, une prétention identique qui a été définitivement jugée. Le juge saisi d'un nouveau procès est lié par tout ce qui a été tranché dans le dispositif du jugement précédent; on parle d'effet préjudiciel ou contraignant (ATF 142 III 210 consid. 2). L'identité s'entend au sens matériel; il n'est pas nécessaire, ni même déterminant que les conclusions soient formulées de manière identique dans les deux procès. Il suffit que la prétention nouvellement émise soit contenue dans celle déjà jugée, respectivement que la question litigieuse tranchée à titre principal dans le premier procès ait désormais les traits d'une question préjudicielle dans le nouveau procès (ATF 123 III 16 consid. 2a; 139 III 126 consid. 3.2.3). Seul le dispositif du jugement est revêtu de l'autorité de chose jugée. Il est parfois nécessaire de se référer aux considérants pour en déterminer la portée précise, notamment lorsque le dispositif se borne à indiquer que la demande est rejetée (ATF 136 III 345 consid. 2.1; 121 III 474 consid. 4a; 116 II 738 consid. 2a); dans la mesure toutefois où ils ne trouvent pas de reflet dans le dispositif, les considérants ne lient pas le juge. Ainsi, les constatations de fait et les considérants de droit ne participent pas de l'autorité de chose jugée et ne lient pas le juge dans une nouvelle procédure (ATF 123 III 16 consid. 2a; 121 III 474 consid. 4a; arrêt du Tribunal fédéral 4A_536/2018 du 16 mars 2020 consid. 3.1.1).</w:t>
      </w:r>
    </w:p>
    <w:p>
      <w:r>
        <w:rPr>
          <w:b/>
        </w:rPr>
        <w:t>E. 3.2</w:t>
      </w:r>
    </w:p>
    <w:p>
      <w:r>
        <w:t>En l'espèce, par son arrêt du 21 novembre 2023 rendu dans la cause C/1______/2018, la Cour a confirmé le rejet de la demande de l'intimé C______, au motif que le contrat sur lequel l'appelante fonde ses prétentions dans la présente cause est un contrat de mandat et non pas un contrat de travail. Ainsi, les considérants développés dans l'arrêt précité sont reflétés dans le dispositif de celui-ci et lient la Cour de céans. En tant que de besoin, il y a lieu de se référer intégralement à l'argumentation développée dans l'arrêt précité au sujet de la qualification du contrat litigieux. Le grief des intimés, infondé, sera donc rejeté. Le chiffre 1 du dispositif du jugement attaqué sera dès lors confirmé.</w:t>
      </w:r>
    </w:p>
    <w:p>
      <w:r>
        <w:rPr>
          <w:b/>
        </w:rPr>
        <w:t>E. 4</w:t>
      </w:r>
    </w:p>
    <w:p>
      <w:r>
        <w:t>L'appelante fait grief au Tribunal d'avoir considéré qu'elle n'avait pas démontré que les intimés avaient violé la clause de non-concurrence de l'art. 5 du contrat de mandat. Les parties avaient "volontairement et expressément convenu" que la preuve de la violation de l'obligation de non-concurrence pouvait être apportée au niveau de la vraisemblance. En agissant ainsi, elles avaient valablement convenu de réduire le niveau de preuve applicable, ce qui liait le Tribunal et ne constituait pas un engagement excessif.</w:t>
      </w:r>
    </w:p>
    <w:p>
      <w:r>
        <w:rPr>
          <w:b/>
        </w:rPr>
        <w:t>E. 4.1</w:t>
      </w:r>
    </w:p>
    <w:p>
      <w:r>
        <w:t>La prohibition de faire concurrence est prévue en matière de droit des sociétés (cf. notamment art. 536 CO) mais elle est réglée de façon plus détaillée dans le contrat individuel de travail (art. 340 ss CO). De pareilles défenses peuvent également être stipulées dans des conventions spécifiques, notamment dans des contrats de vente, d'entreprise ou de bail. En ces cas, les règles spéciales que le législateur a édictées pour protéger la liberté économique du travailleur ne sont pas applicables, mais les intérêts en cause sont sauvegardés par les principes généraux inscrits aux art. 27 CC et 20 CO (ATF 51 II p. 222). Selon ces dispositions, qui ont la même portée en tant qu'elles s'opposent à ce que les parties à un contrat aliènent leur liberté dans une mesure contraire aux mœurs, la limitation de la liberté ne doit pas aller jusqu'à compromettre les biens vitaux les plus importants du débiteur, arrêter le libre développement de son activité et le soumettre à l'arbitraire illimité du créancier. Pour juger si tel est le cas, il faut rechercher si les restrictions apportées à la liberté dépassent la mesure de ce qui est tolérable par leur durée, leur rayon d'application ou leur contenu matériel, ou encore par la combinaison de ces différents éléments (ATF 102 II 211 consid. 6 et les références citées; cf. également ATF 143 III 480 - JdT 2018 II 234 p. 243; ATF 123 III 337 consid. 5 et arrêt du Tribunal fédéral 4C.5/2003 du 11 mars 2003 consid. 2.1.2). La peine conventionnelle ou clause pénale au sens de l'art. 160 CO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ATF 135 III 433 consid. 3.1; 122 III 420 consid. 2a; arrêts du Tribunal fédéral 4A_422/2022 du 18 janvier 2023 consid. 5.1; 4A_653/2016 du 20 octobre 2017 consid. 3.1).</w:t>
      </w:r>
    </w:p>
    <w:p>
      <w:r>
        <w:rPr>
          <w:b/>
        </w:rPr>
        <w:t>E. 4.2</w:t>
      </w:r>
    </w:p>
    <w:p>
      <w:r>
        <w:t>Déterminer quel est le contenu d'un contrat est soumis au principe de la priorité de la volonté subjective sur la volonté objective (ATF 144 III 93 consid. 5.2.1; 123 III 35 consid. 2b).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toutefois pas lieu de s'écarter du sens littéral du texte adopté par les intéressés lorsqu'il n'existe aucune raison sérieuse de penser qu'il ne correspond pas à leur volonté (ATF 136 III 186 consid. 3.2.1 et les arrêts cités; arrêt du Tribunal fédéral 4A_327/2024 du 19 mars 2025 consid. 4.3).</w:t>
      </w:r>
    </w:p>
    <w:p>
      <w:r>
        <w:rPr>
          <w:b/>
        </w:rPr>
        <w:t>E. 4.3</w:t>
      </w:r>
    </w:p>
    <w:p>
      <w:r>
        <w:t>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(ATF 129 III 18 consid. 2.6; cf. également ATF 141 III 241 consid. 3.2; 130 III 591 consid. 5.4; arrêt du Tribunal fédéral 4A_303/2023 du 26 mars 2024 consid. 4.1.2). Le degré de preuve, qui relève du droit matériel, doit être fixé, pour chaque fait constitutif, d'après le sens et l'esprit de la règle de droit matériel. En général, il se déduit de l'art. 8 CC (HOHL, Procédure civile, Tome I, 2 ème éd, 2016, n. 1864). Les règles relatives au degré de preuve (art. 8 CC) désignent le degré des certitude (certitude complète ou conviction, haute vraisemblance, simple vraisemblance) que le juge doit acquérir quant à l'existence d'un fait pertinent pour l'application de la règle de droit (arrêt du Tribunal fédéral 4A_160/2021 du 6 mai 2022 consid. 4.2).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La loi, la doctrine et la jurisprudence ont apporté des exceptions à cette règle d'appréciation des preuves en admettant que la preuve puisse être admise au degré de la vraisemblance prépondérante dans certains cas. L'expression équivaut à celle de haute vraisemblance. La preuve est alors rapportée lorsque, d'un point de vue objectif, des motifs importants plaident pour l'exactitude d'une allégation, sans que d'autres possibilités ne revêtent une importance significative ou n'entrent raisonnablement en considération (ATF 135 V 39 consid. 6.1; 133 III 81 consid. 4.2.2; 132 III 715 consid. 3.1). L'allègement de la preuve est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132 III 715 consid. 3.1; 130 III 321 consid. 3.2 et les références). Tel peut être le cas de l'existence d'un lien de causalité naturelle, respectivement hypothétique (ATF 132 III 715 consid. 3.2; 128 III 271 consid. 2b/aa; 121 III 358 consid. 5; 107 II 269 consid. 1b). Un état de nécessité en matière de preuve n'existe pas à compter du moment où un fait, qui par nature pourrait être prouvé directement, ne peut pas l'être car les moyens de preuve font défaut à la partie qui supporte le fardeau de la preuve. De simples difficultés de preuve dans un cas concret ne peuvent conduire à un allègement de la preuve (ATF 130 III 321 consid. 3.2 et les références; arrêt du Tribunal fédéral 4A_594/2017 du 13 novembre 2018 consid. 5.1).</w:t>
      </w:r>
    </w:p>
    <w:p>
      <w:r>
        <w:rPr>
          <w:b/>
        </w:rPr>
        <w:t>E. 4.4</w:t>
      </w:r>
    </w:p>
    <w:p>
      <w:r>
        <w:t>Il faut encore distinguer ce degré de preuve de celui de la simple vraisemblance. Un fait est rendu vraisemblable déjà lorsque certains éléments plaident en faveur de son existence, même lorsque le tribunal prend en compte la possibilité qu'il puisse ne pas s'être réalisé (ATF 132 III 715 consid. 3.1; 130 III 321 consid. 3.3 et les références). Il s'agit d'un assouplissement de la preuve par rapport à la certitude découlant du principe général de l'art. 8 CC. La preuve au degré de la simple vraisemblance ne nécessite pas que le juge soit convaincu du bien-fondé des arguments de la partie demanderesse; il doit simplement disposer d'indices objectifs suffisant pour que les faits allégués présentent une certaine vraisemblance sans devoir exclure qu'il puisse en aller différemment (arrêt du Tribunal fédéral 4A_537/2021 du 18 janvier 2022 consid. 4.1.1 relatif à l'art. 6 LEg). En matière de séquestre, le Tribunal fédéral considère que les faits à l'origine du séquestre, dont l'existence des biens appartenant au débiteur (art. 272 al. 1 ch. 3 LP),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Les conditions posées au degré de vraisemblance de l'existence ne doivent pas être trop élevées; cependant, un début de preuve doit exister. Le séquestre étant une procédure sommaire au sens propre, sur pièces (art. 256 al. 1 CPC; ATF 138 III 636 consid. 4.3.2; arrêt du Tribunal fédéral 5A_754/2024 du 18 février 2025 consid. 4.1.1), le créancier séquestrant doit alléguer les faits et produire un titre (art. 254 al. 1 CPC) qui permet au juge du séquestre d'acquérir, au degré de la simple vraisemblance, la conviction que les conditions du séquestre existent (arrêt du Tribunal fédéral 5A_263/2025 du 9 mai 2025 consid. 3.2.1). L'opposant doit tenter de démontrer que son point de vue est plus vraisemblable que celui du créancier séquestrant (arrêts du Tribunal fédéral 5A_328/2013 du 4 novembre 2013 consid. 4.3.2; 5A_925/2012 du 5 avril 2013 consid. 9.3).</w:t>
      </w:r>
    </w:p>
    <w:p>
      <w:r>
        <w:rPr>
          <w:b/>
        </w:rPr>
        <w:t>E. 4.5</w:t>
      </w:r>
    </w:p>
    <w:p>
      <w:r>
        <w:t>La vraisemblance ne se substitue à la preuve complète que si la loi le dit expressément (par exemple pour les prétentions au fond, art. 697d al. 3 CO, art. 6 LEg, art. 67 al. 2 LBI, art. 981 al. 3 CO, art. 1074 al. 2 CO), ou encore lorsque cet assouplissement découle du système général de la prétention déduite en justice (ainsi, pour les mesures protectrices de l'union conjugale) (PIOTET, Commentaire romand, Code civil I, 2019, n. 28 et notes 74-75 ad art. 8 CC). La question du caractère dispositif de l'art. 8 CC et du régime juridique des actes juridiques dérogeant à la règle est controversée et doit amener à une classification des différentes questions entrant ici en jeu (PIOTET, op. cit., n. 84 ad art. 8 CC). L'avant-projet de la commission d'expert sur le CPC de juin 2003 prévoyait expressément l'admissibilité de la convention relative au fardeau de la preuve à l'art. 8 al. 2 CC [cette disposition avait la teneur suivante: "Les parties peuvent régler par écrit le fardeau de la preuve lorsqu'il s'agit de droits dont ils peuvent disposer librement"]. La disposition n'a pas rencontré d'opposition sur le principe, mais surtout en raison du risque de favoriser les conditions générales unilatérales. Elle n'a pas été reprise dans le projet du Conseil fédéral du 28 juin 2006 et n'a pas non plus fait l'objet de discussions. Ainsi, la convention relative au fardeau de la preuve ne peut pas être considérée comme illicite par un silence qualifié du législateur (WALTER, Berner Kommentar, 2012, n. 655 et note 1505 ad art. 8 CC). La doctrine est aujourd'hui nettement favorable à l'admission de telles conventions, tant que le droit matériel dont découle le droit d'action est laissé à la libre disposition des parties et que l'art. 27 CC n'est pas violé. La pratique judiciaire a admis un nombre relativement important de cas d'application, par exemple pour des présomptions d'exactitude contractuelles (PIOTET, op. cit., n. 89 ad art. 8 CC; cf. également WALTER, op. cit., n. 656 à 665 ad art. 8 CC et STOFFEL, La forme comme objet du contrat, Zürcher Studien zum Privatrecht, 2017, n. 232). La doctrine précitée est cependant muette sur l'admissibilité d'une convention prévoyant un allégement du degré de la preuve.</w:t>
      </w:r>
    </w:p>
    <w:p>
      <w:r>
        <w:rPr>
          <w:b/>
        </w:rPr>
        <w:t>E. 4.6</w:t>
      </w:r>
    </w:p>
    <w:p>
      <w:r>
        <w:t>Lorsque la maxime des débats est applicable (art. 55 al. 1 CPC), il incombe aux parties, et non au juge, de rassembler les faits du procès (ATF 144 III 519 consid. 5.1; 123 III 60 consid. 3a; arrêt du Tribunal fédéral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arrêt du Tribunal fédéral 5A_978/2020 du 5 avril 2022 consid. 7.2.2.2). A cet égard, il importe peu que les faits aient été allégués par le demandeur ou par le défendeur puisqu'il suffit que les faits fassent partie du cadre du procès pour que le juge puisse en tenir compte (ATF 149 III 105 consid. 5.1; 143 III 1 consid. 4.1).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Doivent être allégués les faits pertinents, c'est-à-dire les éléments de fait concrets correspondant aux faits constitutifs de l'état de fait de la règle de droit matériel (c'est-à-dire les "conditions" du droit) applicable dans le cas particulier (ATF 149 III 105 consid. 5.1; 143 III 1 consid. 4.1; arrêt du Tribunal fédéral 4A_31/2023 du 11 janvier 2024 consid. 4.1.1).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aCPC), c'est-à-dire avant les premières plaidoiries au sens de l'art. 228 CPC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519 consid. 5.2.1.1). Parallèlement à l'allégation des faits pertinents, les parties doivent, en vertu de l'art. 55 al. 1 CPC, proposer leurs moyens de preuve à l'appui de chacun des faits allégués (fardeau de l'administration des preuves; Beweisführungslast).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laquelle des parties a offert un moyen de preuve puisque, pour que celui-ci fasse partie du cadre du procès et puisse être administré, il suffit qu'il ait été proposé au tribunal. Il n'en demeure pas moins que la partie qui supporte le fardeau de la preuve (art. 8 CC) a tout intérêt à faire en sorte que les moyens de preuve nécessaires soient présentés en procédure (arrêt du Tribunal fédéral 4A_31/2023 précité consid. 4.1.3).</w:t>
      </w:r>
    </w:p>
    <w:p>
      <w:r>
        <w:rPr>
          <w:b/>
        </w:rPr>
        <w:t>E. 4.7</w:t>
      </w:r>
    </w:p>
    <w:p>
      <w:r>
        <w:t>En l'espèce, l'appelante reproche aux intimés "d'avoir incité de nombreux clients à résilier abruptement les mandats de gestion octroyés à A______ Genève, en vue de couvrir leurs besoins en matière de gestion de fortune auprès d'autres prestataires ou d'eux-mêmes" et d'avoir ainsi violé leur obligation de non- concurrence découlant de l'art. 5 du contrat de mandat du 20 novembre 2015. Ceux-ci devraient donc lui "payer le montant de la clause pénale [50'000 fr.], pour chaque violation rendue vraisemblable". Elle soutient qu'elle aurait "rendu à tout le moins vraisemblable que les intimés avaient violé la clause de non-concurrence à au moins 26 reprises, puisque ce sont 26 clients qui ont subitement résilié leurs mandats à la suite du départ" de l'intimé. Ses prétentions portent sur 1'300'000 fr., soit 26 x 50'000 fr.</w:t>
      </w:r>
    </w:p>
    <w:p>
      <w:r>
        <w:rPr>
          <w:b/>
        </w:rPr>
        <w:t>E. 4.7.1</w:t>
      </w:r>
    </w:p>
    <w:p>
      <w:r>
        <w:t>Il est admis que les parties ont valablement intégré dans le contrat de mandat du 20 novembre 2015 une clause de prohibition de faire concurrence stipulant une peine conventionnelle. Il n'est ni contesté ni contestable que l'appelante n'a pas apporté la preuve certaine de violations de la part des intimés de ladite clause. Par ailleurs, contrairement à ce qu'elle soutient, l'appelante ne se trouvait pas dans un "état de nécessité en matière de preuve" permettant, selon la loi, la doctrine ou la jurisprudence, d'admettre la preuve au degré de la vraisemblance prépondérante. De simples difficultés de preuve dans un cas concret ne peuvent conduire à un allègement de la preuve. C'est au mépris de ces principes que l'appelante s'est notamment limitée à alléguer que les sept courriers qu'elle produisait sous pièces 23 à 29 avaient "très vraisemblablement été préparés et remis aux clients" par les intimés (allégué 70 de la demande). Cela étant, les intimés ne contestent pas qu'en prévoyant à l'art. 5 du contrat qu'il suffirait à l'appelante de "rendre vraisemblable" une violation de la clause de non-concurrence pour avoir droit à la peine conventionnelle de 50'000 fr., les parties avaient la réelle et commune intention de se référer aux notions de droit suisse en matière de degré de preuve.</w:t>
      </w:r>
    </w:p>
    <w:p>
      <w:r>
        <w:rPr>
          <w:b/>
        </w:rPr>
        <w:t>E. 4.7.2</w:t>
      </w:r>
    </w:p>
    <w:p>
      <w:r>
        <w:t>Dans la mesure où la procédure ordinaire s'applique à la présente cause, soumise par ailleurs à la maxime des débats, il incombait à l'appelante, indépendamment du degré de preuve applicable, d'expliciter de manière suffisamment précise les faits qu'elle entendait établir au moyen des preuves produites ou offertes. Or, les allégations de la demande ne permettent pas de déterminer quels seraient les 26 clients que les intimés auraient induits à mettre un terme aux rapports contractuels avec elle, ni même si les 7 clients auteurs des courriers produits sous pièces 23 à 29 de l'appelante sont compris dans les 26. Les 24 pièces déposées (pièces 23 à 46) visent 41 mandats de gestion confiés à l'appelante (et un nombre indéterminé de clients, compte tenu du fait que certains mandats ont été conclu par deux clients ou par des familles) et l'on ignore sur quelle base l'appelante a choisi de viser 26 clients. Les allégués ne sont pas suffisamment précis, l'appelante s'étant bornée à affirmer d'abord qu'"un grand nombre de clients", puis que "pas moins de 26 clients (…) qui avaient conclu au total 34 mandats de gestion" auraient été détournés par les intimés (allégués 65 et 87 de la demande).</w:t>
      </w:r>
    </w:p>
    <w:p>
      <w:r>
        <w:rPr>
          <w:b/>
        </w:rPr>
        <w:t>E. 4.7.3</w:t>
      </w:r>
    </w:p>
    <w:p>
      <w:r>
        <w:t>Même si l'on admettait que les allégués de la demande étaient suffisamment précis, l'on devrait constater que l'appelante n'a pas rendu vraisemblables 26 violations de la clause de non-concurrence. Les titres produits ne permettent pas de retenir, même au stade de la vraisemblance, que des clients de l'appelante auraient mis fin aux mandats de gestion sur incitation des intimés. La simple chronologie ne suffit pas. Les éléments fournis n'autorisent pas à retenir que le point de vue de l'appelante est plus vraisemblable que celui exposé par l'intimé lors de son interrogatoire par le Tribunal (cf. ci-dessus, "En fait", let. C.k.c). Les auditions de témoins mentionnées dans la demande, notamment celles proposées à l'appui de l'allégué 87, n'ont finalement pas eu lieu, l'appelante ayant renoncé à présenter les moyens de preuve annoncés. Celle-ci a même renoncé à l'audition du témoin qu'elle avait proposé à l'appui de son allégué 71, qui visait 12 clients ayant renoncé aux mandats de gestion, celui-ci ne souhaitant pas se déplacer depuis le Luxembourg. Enfin, à l'appui du ch. 70 de la demande, où elle allègue que les 7 courriers produits sous pièces 23 à 29 auraient "très vraisemblablement été préparés et remis aux clients" par les intimés, l'appelante ne propose aucun autre moyen de preuve que les pièces en question et l'interrogatoire de ses représentants, lesquels, à ce sujet, n'ont fait que reprendre le point de vue exposé dans la demande. Le fait que, dans sa demande, l'appelante proposait l'audition de témoins démontre qu'elle était consciente de l'insuffisance des éléments résultant de ses pièces. Elle y a cependant renoncé, de sorte que le dossier ne contient finalement pas d'indices objectifs suffisant pour que ses allégués présentent une certaine vraisemblance, même en se limitant uniquement aux 7 courriers qu'elle a produits sous pièces 23 à 29. Pour la première fois en appel, l'appelante fait valoir qu'en tant que gérante de fortune elle était liée par une obligation légale de discrétion et de confidentialité à l'égard des clients concernés. Elle se réfère notamment à l'art. 69 de la loi fédérale du 15 juin 2018 sur les établissement financiers (LEFin) et soutient qu'elle ne pouvait fournir au Tribunal que les initiales des clients ayant résilié leur contrat, sous peine de violer ses obligations. A cet égard, il sied de relever, d'une part, qu'en application de l'art. 163 al. 2 CPC, une partie dépositaire d'un secret tel le secret bancaire (art. 47 LB) peut refuser de collaborer si elle rend vraisemblable que l'intérêt à garder le secret l'emporte sur l'intérêt à la manifestation de la vérité et, d'autre part, qu'il appartient au juge de procéder à la pesée de ces intérêts, en fonction de toutes les circonstances (JEANDIN, Commentaire romand, Code de procédure civile, 2019, n. 21 ad art. 163 CPC). Or, en première instance, l'appelante n'a pas prétendu que l'intérêt à ne pas divulguer le nom d'au moins un client (d'ailleurs connu par les intimés) l'emportait sur l'intérêt à la manifestation de la vérité. Les considérations qui précèdent suffisent à sceller le sort de l'appel, de sorte que le déboutement de l'appelante sera confirmé (chiffre 3 du dispositif du jugement attaqué).</w:t>
      </w:r>
    </w:p>
    <w:p>
      <w:r>
        <w:rPr>
          <w:b/>
        </w:rPr>
        <w:t>E. 4.7.4</w:t>
      </w:r>
    </w:p>
    <w:p>
      <w:r>
        <w:t>Il est donc superflu d'examiner si l'allégement du degré de la preuve convenu par les parties était admissible au regard de l'art. 8 CC et/ou s'il constituait un engagement excessif des intimés au sens de l'art. 27 al. 2 CO. A toutes fins utiles et par surabondance, la Cour fera cependant intégralement sienne l'argumentation du premier juge, tel que reprise ci-dessus dans la parte "En fait", sous let. C.n.</w:t>
      </w:r>
    </w:p>
    <w:p>
      <w:r>
        <w:rPr>
          <w:b/>
        </w:rPr>
        <w:t>E. 5</w:t>
      </w:r>
    </w:p>
    <w:p>
      <w:r>
        <w:t>Les frais judiciaires d'appel seront arrêtés à 43'200 fr. (art. 13, 17 et 35 RTFMC). Ils seront mis à la charge de l'appelante, qui succombe intégralement (art. 106 al. 1 CPC), et compensés avec l'avance fournie par celle-ci, laquelle demeure acquise à l'Etat de Genève (art. 111 al. 1 aCPC). L'appelante sera condamnée à payer aux intimés, conjointement et solidairement entre eux, des dépens fixés à 25'000 fr. (art. 84, 85 et 90 RTFMC), débours et TVA compris (art. 25 et 26 LaCC). * * * * * PAR CES MOTIFS, La Chambre civile : A la forme : Déclare recevable l'appel interjeté 27 août 2024 par A______ GENEVE SA contre le jugement JTPI/8155/2024 rendu le 24 juin 2024 par le Tribunal de première instance dans la cause C/14421/2019. Au fond : Confirme le jugement attaqué. Déboute les parties de toutes autres conclusions. Sur les frais : Arrête les frais judiciaires d'appel à 43'200 fr., les met à la charge de A______ GENEVE SA et les compense avec l'avance fournie, laquelle demeure acquise à l'Etat de Genève. Condamne A______ GENEVE SA à verser à C______ et B______, conjointement et solidairement, 25'000 fr. à titre de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