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C/14130/2004 vom 28. November 2005</w:t>
      </w:r>
    </w:p>
    <w:p>
      <w:r>
        <w:t>GE Cour de justice, 2005-11-28, FR</w:t>
      </w:r>
    </w:p>
    <w:p>
      <w:r>
        <w:rPr>
          <w:b/>
        </w:rPr>
        <w:t xml:space="preserve">Quelle: </w:t>
      </w:r>
      <w:r>
        <w:t>https://mcp.opencaselaw.ch/entscheid/ge_gerichte_C_14130_2004</w:t>
      </w:r>
    </w:p>
    <w:p>
      <w:r>
        <w:t>FR: GE_GERICHTE C/14130/2004 du 28 novembre 2005</w:t>
      </w:r>
    </w:p>
    <w:p>
      <w:r>
        <w:t>IT: GE_GERICHTE C/14130/2004 del 28 novembre 2005</w:t>
      </w:r>
    </w:p>
    <w:p>
      <w:pPr>
        <w:pStyle w:val="Heading2"/>
      </w:pPr>
      <w:r>
        <w:t>Regeste</w:t>
      </w:r>
    </w:p>
    <w:p>
      <w:r>
        <w:t>CONTRAT INDIVIDUEL DE TRAVAIL; COMMERCE DE DÉTAIL ; VENDEUR(PROFESSION) ; RÉSILIATION ABUSIVE; INDEMNITÉ(EN GÉNÉRAL); TORT MORAL | T, née en 1945, a travaillé pendant vingt-deux ans en qualité de vendeuse dans un des magasins de chaussures de E. Après que sa fille, également vendeuse dans un autre point de vente de E, ait reçu un courrier d'avertissements, T a pris contact avec le supérieur hiérarchique de sa fille et lui a reproché son attitude. T a alors été convoquée à un entretien avec le responsable du personnel, en présence du supérieur hiérarchique incriminé. L'entretien ayant dégénéré en raison de l'agressivité des participants, T a été convoquée a un deuxième entretien deux jours après le premier. Derechef, le ton est monté et il a été reproché à T de ne pas avoir présenté ses excuses pour son attitude lors du premier entretien. La réunion s'est terminée par la soumission à T d'une lettre de licenciement.T conteste son congé et réclame une indemnité pour licenciement abusif.La Cour fait droit à ses conclusions et fixe l'indemnité à quatre mois de salaire. Licencier une employée modèle ayant vingt-deux ans d'ancienneté dans l'entreprise parce que celle-ci n'a pas présenté des excuses spontanées pour un comportement, certes excessif et inacceptable, mais unique durant toutes ses années de service - comportement dont, au demeurant, elle ne portait pas seule la responsabilité - sans l'informer expressément qu'à défaut de s'excuser de son propre chef elle risquait d'être licenciée, doit être considéré comme une violation des droits de la personnalité de l'intéressée au sens de l'art. 328 CO, et, partant, constitue un cas de licenciement abusif selon l'art. 336 CO. | CO.336; CO.336a; CC.2; CO.328;</w:t>
      </w:r>
    </w:p>
    <w:p>
      <w:pPr>
        <w:pStyle w:val="Heading2"/>
      </w:pPr>
      <w:r>
        <w:t>Erwägungen</w:t>
      </w:r>
    </w:p>
    <w:p>
      <w:r>
        <w:rPr>
          <w:b/>
        </w:rPr>
        <w:t>E. 1</w:t>
      </w:r>
    </w:p>
    <w:p>
      <w:r>
        <w:t>Interjetés dans les formes et délais prévus aux art. 59 et 62 de la loi sur la juridiction des prud’hommes (LJP), les appels tant principal qu’incident sont recevables.</w:t>
      </w:r>
    </w:p>
    <w:p>
      <w:r>
        <w:rPr>
          <w:b/>
        </w:rPr>
        <w:t>E. 2.1</w:t>
      </w:r>
    </w:p>
    <w:p>
      <w:r>
        <w:t>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 JT 1986 I 47 , 49). A défaut de présomption légale quant au caractère abusif de la résiliation en cas de motivation manquante fausse ou incomplète, il faut s’en tenir, également dans des hypothèses de ce genre, au fardeau de l’allégation et de la preuve (ATF 121 III 60 , JT 1996 I 47 ). La partie qui supporte le fardeau de la preuve ne dispose d’un droit à l’administration de celle-ci que si elle porte sur des faits juridiquement pertinents (ATF 121 III 60 , JT 1996 47 (50) et les références jurisprudentielles citées).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Si elle facilite la preuve, cette présomption de fait n’a cependant pour effet d’en renverser le fardeau (ATF 115 II 487 c.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 397). Lorsque plusieurs motifs de congé entrent en jeu et que l’un d’entre eux n’est pas digne de protection, il convient de déterminer si, sans ce motif illicite, le contrat aurait tout de même été résilié ; si tel est le cas, le congé n’est pas abusif (ATF du 11.11.1993, in SJ 1995 p.798). L’article 328 CO, relatif à la protection de la personnalité du travailleur, constitue la disposition légale centrale pour déterminer les autres cas d’abus qui ne sont pas expressément prévus à l’art. 336 CO. Le licenciement est ainsi également abusif si l’employeur ne respecte pas les droits de la personnalité du travailleur au moment du licenciement (ATF 125 III 70 ; 118 II 157 ). Ainsi, le caractère abusif d’une résiliation de contrat de travail peut résulter de la manière dont la partie exerce son droit de donner congé. Même lorsqu’elle exerce ce droit de manière licite, elle doit le faire avec ménagement. La partie qui donne le congé ne doit pas jouer un double jeu qui contrevient de manière grossière au principe de la bonne foi (ATF 118 II 157 c. 4b/cc).</w:t>
      </w:r>
    </w:p>
    <w:p>
      <w:r>
        <w:rPr>
          <w:b/>
        </w:rPr>
        <w:t>E. 2.2</w:t>
      </w:r>
    </w:p>
    <w:p>
      <w:r>
        <w:t>En l’espèce, il résulte du dossier que C___________ attendait avant tout d’abord de T_____________ qu’elle lui présente spontanément des excuses pour le comportement jugé inadmissible qu’elle avait eu à son égard lors de l’entretien du 19 août 2003 et que, ne les ayant pas obtenues, il avait organisé une réunion pour le surlendemain, préparant à l’avance une lettre de licenciement au cas où l’intéressée n’aurait pas, dans l’intervalle, voire durant cette seconde réunion, changé d’attitude et fait, de son propre chef, amende honorable. Cette attente de C___________, avant et durant l’entretien du 21 août 2003, a été déçue, de sorte que la décision de licencier T_____________ a été prise au cours de cette seconde réunion, comme du reste l’intéressé l’a déclaré (PV de CP du 1.11. 2004, p. 8). C___________ ou F__________ a annoncé la nouvelle à l’intimé et lui a demandé de signer, pour en accuser réception, la lettre de licenciement qui lui était présentée. Sous le choc de cette nouvelle, T_____________ a fondu en larmes, au point de ne plus pouvoir signer ladite lettre qui lui a été adressée, le même jour, par voie postale. Par ailleurs, T_____________ a déclaré, sans avoir été contredite sur ce point, que, lors de cette réunion du 21 août 2003, lorsqu’elle s’était excusée après que ses interlocuteurs lui eurent fait remarquer qu’elle ne l’avait pas encore fait, elle s’était vu répondre que c’était trop tard. On ne comprend dès lors pas comment le témoin F__________ a pu déclarer, d’une part, qu’à l’issue de la réunion du 21 août 2003, il avait, après le départ de T_____________, discuté avec C___________ et qu’ils avaient convenu que « faute d’accord dans un certain délai, sauf erreur de vingt-quatre heures, il fallait rompre le contrat », espérant tous deux que l’intéressée s’excuserait durant ce laps de temps, et, d’autre part, qu’immédiatement après la fin de la réunion susmentionnée, D_____________ avait « rattrapé » T_____________ et lui avait conseillé, en vain, de bien réfléchir et de s’excuser. Quoi qu’il en soit, il résulte de l’ensemble des éléments susmentionnés que le licenciement de l’intimée n’a pas été effectué avec les égards dus à une employée qui, vingt-deux ans durant, avait donné entière satisfaction. Certes, T_____________ n’aurait peut-être pas dû intervenir consécutivement à la lettre que le chef du personnel avait adressée à sa fille le 18 août 2003, et, en tout cas, pas dû se comporter comme elle l’a fait lors des deux entretiens, perdant son sang-froid et rendant tout dialogue très difficile. En outre, l’intimée aurait peut-être dû prendre l’initiative de s’excuser spontanément - comme manifestement C___________ l’attendait d’elle - pour son attitude déjà à l’issue de la première réunion du 19 août 2003, et, à tout le moins, au cours du second entretien. Toutefois, le comportement du chef du personnel de l’appelante, lors des deux réunions avec l’intimée, n’est pas non plus exempt de tout reproche et apparaît avoir contribué, dans une mesure non négligeable, à la situation ayant conduit au licenciement de l’intimée. En effet, la façon dont T_____________ a été, le 19 août 2003, convoquée dans son bureau, au vu et au su de ses collègues qui suivaient le même cours de formation, est pour le moins déjà discutable. Par ailleurs, alors que l’on est en droit d’attendre d’un chef du personnel qu’il se comporte à l’égard des employés de l’entreprise dont il a la charge avec calme et pondération, sans provocation, C___________ a d’emblée donné le ton lors de la première réunion en demandant, à deux reprises au moins, à T_____________ comment elle se prénommait, et ce pour lui reprocher d’être intervenue dans les problèmes concernant sa fille A______. Il semble indéniable que si, à cette occasion, C___________ avait preuve d’un peu plus de psychologie et de compréhension, en tenant compte, notamment, de l’élément émotionnel très fort ayant incité T_____________ à réagir de la sorte au courrier qui avait été adressé à sa fille, les choses se seraient très certainement passées différemment. En outre, on attend également d’un chef du personnel qu’il n’adopte pas le même ton et comportement que l’employé à qui il a affaire lorsque ce dernier commence à s’emporter et à crier, et ce, même si son interlocuteur, à l’instar de T_____________, critique sa façon d’accomplir son travail. L’attitude de C___________ lors de la réunion du 19 août 2003 apparaît ainsi avoir à tout le moins constitué les prémisses de l’atteinte aux droits de la personnalité de T_____________ dans la manière façon dont celle-ci l’intimée a été licenciée par la suite. A ce propos, il y a tout d’abord lieu de relever que T_____________ n’a pas été licenciée pour son comportement lors de la réunion du 21 août 2003, mais pour celui qu’elle avait eu lors de celle du 19 août 2003. La lettre de congé du 21 août 2003 ne fait, en effet, référence à l’attitude de T_____________ que lors de la première réunion avec C___________, B__________ et D_____________ et non pas à celle du 21 août 2003. Dès lors, c’est en vain que E_____________ se prévaut dans son acte d’appel du comportement de l’intimée lors de cette seconde réunion (ch. 18, p.7 ; p. 15, 5 ème et 6 ème paragraphes). En réalité, comme déjà relevé plus haut, il résulte du dossier, en particulier des déclarations tant de C___________ que de F__________, qu’en définitive il était attendu de T_____________ qu’elle présente ses excuses spontanément pour le comportement, considéré comme inadmissible, qu’elle avait eu envers le chef du personnel de l’entreprise ; la lettre du 22 décembre 2003, signée par C___________, qui relève que l’intimée avait « eu l’audace de sous-entendre que c’était à M. C____ à prendre contact avec elle », est, à cet égard, révélatrice. Les autres motifs invoqués dans la lettre de licenciement précitée, à savoir les critiques de l’intimé à l’égard le personnel du magasin de Carouge et la diffusion de la lettre adressée à sa fille, apparaissent avoir joué un rôle éminemment secondaire. Or, les règles de la bonne foi, que chacun est tenu d’appliquer dans le cadre des rapports juridiques (art. 2 al. 1 CC), exigeaient qu’il fût clairement indiqué à T_____________ qu’à défaut de faire amende honorable de sa propre initiative, elle s’exposait à un licenciement. Tel n’a pas été le cas. Ainsi, licencier une employée modèle ayant vingt-deux ans d’ancienneté dans l’entreprise parce que celle-ci n’a pas présenté des excuses spontanées pour un comportement, certes excessif et inacceptable, mais unique durant toutes ses années de service - comportement dont, au demeurant, elle ne portait pas seule la responsabilité - sans l’informer expressément qu’à défaut de s’excuser de son propre chef elle risquait d’être licenciée, doit être considéré comme une violation des droits de la personnalité de l’intéressée au sens de l’article 328 CO, et, partant, constitue un cas de licenciement abusif selon l’article 336 CO. Le jugement entrepris sera, dès lors, confirmé sur ce point.</w:t>
      </w:r>
    </w:p>
    <w:p>
      <w:r>
        <w:rPr>
          <w:b/>
        </w:rPr>
        <w:t>E. 3.1</w:t>
      </w:r>
    </w:p>
    <w:p>
      <w:r>
        <w:t>A teneur de l’art. 336a CO, l’indemnité due à celui qui est victime d’un licenciement abusif doit être fixée, compte tenu de toutes les circonstances (al. 1), et ne peut pas dépasser un montant correspondant à six mois de salaire du travailleur (al. 2). Cette indemnité, qui poursuit une double finalité, punitive et réparatrice, est due même si la victime ne subit ou ne prouve aucun dommage ; elle revêt ainsi un caractère sui generis et s’apparente à une peine conventionnelle (ATF 123 III 391 c. 3). Le juge doit fixer une indemnité en équité en tenant compte notamment de la gravité du manquement du débiteur et sa capacité financière conformément à la fonction punitive de l’indemnité, par application analogique des critères de l’art. 63 du code pénal (ATF 119 II 157 c. 2b), de la durée des rapports de travail, des effets économiques du licenciement (ATF 123 III 391 ) et de la faute concomitante du travailleur licencié (ATF 119 II 157 c. 2c).</w:t>
      </w:r>
    </w:p>
    <w:p>
      <w:r>
        <w:rPr>
          <w:b/>
        </w:rPr>
        <w:t>E. 3.2</w:t>
      </w:r>
    </w:p>
    <w:p>
      <w:r>
        <w:t>En l’occurrence, les conséquences du licenciement de l’intimée, âgée aujourd’hui de 60 ans, doivent être considérées, à l’instar de ce qu’ont estimé les premiers juges, comme graves, dans la mesure où celle-ci n’a toujours pas retrouvé de travail, après avoir été une excellente employée pendant plus de vingt-deux ans, et s’est vu remerciée alors qu’elle n’était qu’à cinq ans de l’âge de la retraite. Certes, elle a eu le tort de prendre fait et cause pour sa fille en se mêlant, en définitive, de problèmes professionnels qui ne la regardaient pas. On peut toutefois comprendre que T_____________ se soit impliquée comme elle l’a fait, dans la mesure où elle était touchée sur le plan affectif, quand bien même elle n’a visiblement pas utilisé la méthode appropriée pour intervenir, se laissant emporter par la colère. Comme cela a été déjà relevé plus haut, le comportement du chef du personnel dans le traitement du cas de l’intimée n’est pas exempt de tout reproche non plus. En outre, il apparaît que C___________ n’a pas indiqué clairement à T_____________ qu’il attendait d’elle des excuses spontanées, et qu’à défaut elle risquait d’être licenciée. En définitive, si l’attitude de l’intimée à l’égard du chef du personnel ne pouvait pas être acceptée sans réagir, voire devait être sanctionnée, pour ne pas saper l’autorité de celui-ci envers le reste du personnel, l’ancienneté et le comportement jusqu’alors sans reproche de l’intimée justifiaient que l’on ait quelques égards à son sujet. Au demeurant, il est pour le moins révélateur que l’ancien chef du personnel, F__________, qui a œuvré au sein de l’entreprise durant trente-sept ans, a déclaré avoir rencontré déjà de telles situations, mais avoir toujours réussi « à calmer le jeu » (PV du 1.10.2004, p.3). Dans ces conditions, compte tenu des circonstances du cas d’espèce, notamment des conséquences particulièrement pénibles de la perte d’emploi pour l’intéressée qui se trouve toujours à ce jour sans travail, de la grande difficulté qu’elle aura, à son âge, à retrouver une activité rémunérée ainsi que du montant du salaire qu’elle percevait, il se justifie de lui octroyer une indemnité de fr. 14’800.-, correspondant à quatre mois de sa dernière rémunération. Le jugement querellé sera, dès lors, réformé sur ce point.</w:t>
      </w:r>
    </w:p>
    <w:p>
      <w:r>
        <w:rPr>
          <w:b/>
        </w:rPr>
        <w:t>E. 4</w:t>
      </w:r>
    </w:p>
    <w:p>
      <w:r>
        <w:t>Les montants litigieux, tant sur appel principal qu’appel incident, étant inférieurs à fr. 30'000.-, il n’y a pas lieu à perception d’un émolument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