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C/14058/2017 vom 5. Februar 2018</w:t>
      </w:r>
    </w:p>
    <w:p>
      <w:r>
        <w:t>GE Cour de justice, 2018-02-05, FR</w:t>
      </w:r>
    </w:p>
    <w:p>
      <w:r>
        <w:rPr>
          <w:b/>
        </w:rPr>
        <w:t xml:space="preserve">Quelle: </w:t>
      </w:r>
      <w:r>
        <w:t>https://mcp.opencaselaw.ch/entscheid/ge_gerichte_C_14058_2017</w:t>
      </w:r>
    </w:p>
    <w:p>
      <w:r>
        <w:t>FR: GE_GERICHTE C/14058/2017 du 5 février 2018</w:t>
      </w:r>
    </w:p>
    <w:p>
      <w:r>
        <w:t>IT: GE_GERICHTE C/14058/2017 del 5 febbraio 2018</w:t>
      </w:r>
    </w:p>
    <w:p>
      <w:pPr>
        <w:pStyle w:val="Heading2"/>
      </w:pPr>
      <w:r>
        <w:t>Regeste</w:t>
      </w:r>
    </w:p>
    <w:p>
      <w:r>
        <w:t>BAIL À LOYER ; EXPULSION DE LOCATAIRE ; NOTIFICATION ÉCRITE | CPC.137; CPC.141.al2.leta</w:t>
      </w:r>
    </w:p>
    <w:p>
      <w:pPr>
        <w:pStyle w:val="Heading2"/>
      </w:pPr>
      <w:r>
        <w:t>Erwägungen</w:t>
      </w:r>
    </w:p>
    <w:p>
      <w:r>
        <w:rPr>
          <w:b/>
        </w:rPr>
        <w:t>E. 1</w:t>
      </w:r>
    </w:p>
    <w:p>
      <w:r>
        <w:t>La Chambre des baux et loyers connaît des appels et des recours dirigés contre les jugements du Tribunal des baux et loyers (art. 122 let. a LOJ). Selon l'art. 121 al. 2 LOJ, dans les causes fondées sur l'art. 257d CO, la Chambre des baux et loyers de la Cour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Lorsque la décision de première instance a été rendue en procédure sommaire, le délai pour l'introduction de l'appel est de dix jours (art. 314 al. 1 CPC). La procédure sommaire s'applique à la procédure de cas clair (art. 248 let. b CPC).</w:t>
      </w:r>
    </w:p>
    <w:p>
      <w:r>
        <w:rPr>
          <w:b/>
        </w:rPr>
        <w:t>E. 2.2</w:t>
      </w:r>
    </w:p>
    <w:p>
      <w:r>
        <w:t>En l'espèce, compte tenu d'un loyer mensuel de plus de 2'250 fr. par mois, la valeur minimale de 10'000 fr. est atteinte. Interjeté dans le délai et la forme prescrits par la loi (art. 130, 131, 311 et 314 al. 1 CPC), l'appel est recevable, en tant qu'il est dirigé contre le prononcé de l'évacuation.</w:t>
      </w:r>
    </w:p>
    <w:p>
      <w:r>
        <w:rPr>
          <w:b/>
        </w:rPr>
        <w:t>E. 2.3</w:t>
      </w:r>
    </w:p>
    <w:p>
      <w:r>
        <w:t>La Cour revoit la cause avec un plein pouvoir d'examen (art. 310 CPC).</w:t>
      </w:r>
    </w:p>
    <w:p>
      <w:r>
        <w:rPr>
          <w:b/>
        </w:rPr>
        <w:t>E. 2.4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sont recevables les pièces nouvelles produites par l'appelant dans son chargé du 29 septembre 2017. Il en est de même de la pièce 21 du chargé du 30 octobre 2017 qui correspond à la pièce 12 que l'appelant a omis de produire dans son chargé initial, au risque de faire preuve de formalisme excessif. En revanche, les autres pièces produites le 30 octobre 2017, qui auraient pu être produites auparavant, sont irrecevables, étant relevé qu'elles ne sont en tout état pas susceptibles de modifier l'issue du présent litige. S'agissant du jugement JTBL/44/2017 rendu le 18 janvier 2017 dans la cause opposant le locataire et la bailleresse, non produit par les parties, il en sera tenu compte en tant qu'il constitue un fait notoire (arrêt du Tribunal fédéral 5A_610/2016 du 3 mai 2017 consid. 3.1 et les réf. cit.).</w:t>
      </w:r>
    </w:p>
    <w:p>
      <w:r>
        <w:rPr>
          <w:b/>
        </w:rPr>
        <w:t>E. 3</w:t>
      </w:r>
    </w:p>
    <w:p>
      <w:r>
        <w:t>L'appelant reproche au Tribunal d'avoir violé les art. 137 et 141 al. 2 let. a CPC. Il fait valoir que l'intimée savait qu'il n'occupait plus le bureau litigieux et qu'elle avait connaissance de la constitution de son conseil pour avoir communiqué avec ce dernier, ainsi que de son élection de domicile. Cela étant, elle avait intentionnellement passé cette information sous silence et induit le Tribunal en erreur. Selon lui, la notification de la convocation à l'audience du 6 septembre 2017 et du jugement entrepris, faites au 1______, en dépit de son élection de domicile, étaient irrégulières et ne pouvaient être tenues pour accomplies. Il soutient également que l'intimée n'a pas effectué toutes les recherches que l'on pouvait attendre d'elle et qui justifiait une notification par voie édictale.</w:t>
      </w:r>
    </w:p>
    <w:p>
      <w:r>
        <w:rPr>
          <w:b/>
        </w:rPr>
        <w:t>E. 3.1</w:t>
      </w:r>
    </w:p>
    <w:p>
      <w:r>
        <w:t>La nullité d'une décision doit être relevée d'office en tout temps et par toutes les autorités chargées d'appliquer le droit (ATF 129 I 361 consid. 2; 122 I 97 ).</w:t>
      </w:r>
    </w:p>
    <w:p>
      <w:r>
        <w:rPr>
          <w:b/>
        </w:rPr>
        <w:t>E. 3.2</w:t>
      </w:r>
    </w:p>
    <w:p>
      <w:r>
        <w:t>Selon l'art. 141 al. 1 let. a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La voie édictale n'est praticable que si le demandeur ignore de bonne foi la résidence ou le domicile du destinataire de l'acte, après avoir accompli toutes les démarches utiles pour le localiser. L'ignorance ne suffit pas : il faut encore que le demandeur ait procédé en vain aux recherches que l'on peut raisonnablement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demandeur de justifier préalablement par pièces avoir entrepris des recherches infructueuses. Le jugement rendu sans que le défendeur ait eu connaissance de la procédure ou ait pu y prendre part est nul (ATF 129 I 361 consid. 2; 136 III 571 consid. 4-6). L'on ne peut certes exiger du demandeur qu'il se renseigne régulièrement auprès de l'office cantonal de la population afin de localiser le défendeur. Vu l'importance de la procédure initiée et l'intérêt de ce défendeur à y participer, le demandeur ne peut néanmoins se limiter à produire une simple attestation de cet office pour prétendre ignorer le nouveau domicile du défendeur, mais se doit au contraire d'accomplir des démarches plus sérieuses : au regard des liens unissant les parties, des investigations complémentaires, notamment auprès de la famille de l'appelant ou de son cercle d'amis étant parfaitement exigibles (arrêt du Tribunal fédéral 5A_456/2012 du 16 août 2012 consid. 3.2.2.2-3.2.2.3, rendu sous l'ancien droit de procédure genevois; ACJC/808/2017 du 30 juin 2017 consid. 4.1.2). Dans la règle, une notification viciée ne constitue pas un motif de nullité; la protection des parties est suffisamment assurée lorsque la notification irrégulière a néanmoins atteint son but; il faut donc examiner, d'après les circonstances de l'espèce, si la partie intéressée a réellement été induite en erreur par l'irrégularité et a, de ce fait, subi un préjudice. Il convient de faire appel aux règles de la bonne foi - applicables aussi au domaine de la procédure civile - qui posent une limite à l'invocation d'un vice de forme (ATF 132 I 249 consid. 7; arrêt du Tribunal fédéral 5P.24/2007 du19 mars 2007 consid. 4.1).</w:t>
      </w:r>
    </w:p>
    <w:p>
      <w:r>
        <w:rPr>
          <w:b/>
        </w:rPr>
        <w:t>E. 3.3</w:t>
      </w:r>
    </w:p>
    <w:p>
      <w:r>
        <w:t>En l'espèce, une réunion s'est tenue le 8 mai 2014 en présence de l'appelant, de son conseil et de l'administratrice de l'intimée, laquelle a été suivie par un échange d'e-mails notamment entre les précités. A la suite de la résiliation de bail intervenue le 21 août 2014, le conseil de l'appelant s'est, par courrier adressé le 9 septembre 2014 à la bailleresse, formellement constitué, avec élection de domicile en son Etude, pour la défense des intérêts de son client, et a proposé de trouver une solution transactionnelle à cette affaire. Par courrier du lendemain adressé au conseil de l'appelant, l'intimée a accepté cette proposition et retiré la résiliation de bail. Il apparaît ainsi que l'intimée a eu connaissance en 2014 du fait que le conseil de l'appelant s'était constitué, avec élection de domicile, pour la défense des intérêts de ce dernier, dans le cadre d'un litige concernant les locaux loués par l'appelant. Par conséquent, on ne saurait admettre qu'interpellée par le Tribunal dans le cadre de la présente procédure, la bailleresse se soit contentée de produire une attestation établie par l'Office cantonal de la population et des migrations indiquant que le locataire n'était plus domicilié dans le canton de Genève, ainsi qu'une photographie de la boîte aux lettres sur laquelle ne figurait que le nom de la société radiée. En effet, l'on pouvait attendre de l'intimée, au vu des éléments à sa connaissance dans le cas d'espèce, qu'elle se renseigne auprès dudit conseil pour savoir s'il était encore constitué et si l'élection de domicile en son Etude était maintenue. En négligeant de procéder ainsi, la bailleresse n'a pas effectué toutes les recherches sérieuses et n'a pas agi avec la diligence que l'on pouvait raisonnablement attendre d'elle au regard de l'ensemble des circonstances. Il s'en suit que l'appelant - qui allègue n'avoir eu connaissance de l'existence de la présente procédure que lors de la publication du jugement non motivé dans la Feuille d'avis officielle, ce qui n'est pas contesté par l'intimée - ne s'est pas vu régulièrement notifier la convocation à l'audience du 6 septembre 2017 à laquelle étaient jointes la requête et les pièces y relatives, de sorte que la procédure de première instance est entachée d'un grave vice de forme et que le jugement doit être considéré comme nul. Il sera, par conséquent, constaté la nullité de ce jugement. La cause sera renvoyée aux premiers juges pour nouvelles instruction et décision dans le sens des considérants, après avoir cité correctement les parties à comparaître. Au vu de ce qui précède, point n'est dès lors besoin d'examiner les autres griefs invoqués par l'appelant.</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29 septembre 2017 par A______ contre le jugement JTBL/805/2017 rendu le 6 septembre 2017 par le Tribunal des baux et loyers dans la cause C/14058/2017-8. Au fond : Constate la nullité du jugement entrepris. Renvoie la cause au Tribunal pour nouvelles citations à comparaître, instruction et décision dans le sens des considérants. Dit que la procédure est gratuite. Siégeant : Madame Nathalie LANDRY-BARTHE, présidente; Madame Sylvie DROIN,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