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C/13862/2013 vom 8. November 2016</w:t>
      </w:r>
    </w:p>
    <w:p>
      <w:r>
        <w:t>GE Cour de justice, 2016-11-08, FR</w:t>
      </w:r>
    </w:p>
    <w:p>
      <w:r>
        <w:rPr>
          <w:b/>
        </w:rPr>
        <w:t xml:space="preserve">Quelle: </w:t>
      </w:r>
      <w:r>
        <w:t>https://mcp.opencaselaw.ch/entscheid/ge_gerichte_C_13862_2013</w:t>
      </w:r>
    </w:p>
    <w:p>
      <w:r>
        <w:t>FR: GE_GERICHTE C/13862/2013 du 8 novembre 2016</w:t>
      </w:r>
    </w:p>
    <w:p>
      <w:r>
        <w:t>IT: GE_GERICHTE C/13862/2013 del 8 novembre 2016</w:t>
      </w:r>
    </w:p>
    <w:p>
      <w:pPr>
        <w:pStyle w:val="Heading2"/>
      </w:pPr>
      <w:r>
        <w:t>Regeste</w:t>
      </w:r>
    </w:p>
    <w:p>
      <w:r>
        <w:t>CONTRAT DE TRAVAIL ; MÉDECIN ; ÉTABLISSEMENT HOSPITALIER ; COMPÉTENCE RATIONE MATERIAE ; RÉSILIATION IMMÉDIATE ; JUSTE MOTIF</w:t>
      </w:r>
    </w:p>
    <w:p>
      <w:pPr>
        <w:pStyle w:val="Heading2"/>
      </w:pPr>
      <w:r>
        <w:t>Erwägungen</w:t>
      </w:r>
    </w:p>
    <w:p>
      <w:r>
        <w:rPr>
          <w:b/>
        </w:rPr>
        <w:t>E. 30</w:t>
      </w:r>
    </w:p>
    <w:p>
      <w:r>
        <w:t>janvier 2013 et a requis que de la quotité due soient soustraits 20'000 fr., et a repris sa prétention en paiement de 6'000 fr.![endif]&gt;![if&gt; Par réponse, B.A.______ a conclu à la confirmation de la décision attaquée. A.______ SA a répliqué, persistant dans ses conclusions. Par avis du 7 juillet 2016, les parties ont été informées de ce que la cause était gardée à juger, B.A.______ ayant renoncé à dupliquer. EN DROIT 1.             L'appel, écrit et motivé, formé dans les trente jours, est recevable contre les décisions finales de première instance, lorsque la valeur litigieuse est supérieure à 10'000 fr. (art. 308, 311 CPC). ![endif]&gt;![if&gt; 1.1 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 er septembre 2014; 5A_438/2012 du 27 août 2012 consid. 2.2; 4A_97/2014 déjà cité consid. 3.3). 1.2 En l'espèce, l'appelante, à bien la comprendre, ne motive ses critiques que s'agissant de la compétence ratione materiae retenue par le Tribunal, puis subsidiairement s'agissant du principe de la rémunération accordée par les premiers juges pour les mois de février à avril 2013, et de la quotité de ladite qui devrait être réduite de 2'000 fr. du 17 au 30 janvier 2013, et enfin du déboutement de ses conclusions reconventionnelles. Il s'ensuit que son appel porte sur les chiffres 1, 2, 3 et 4 du dispositif de la décision attaquée. L'appel, déposé dans le délai prévu par la loi, est recevable dans cette mesure. 2.             L'appelante fait d'abord grief aux premiers juges d'avoir admis à tort leur compétence ratione materiae .![endif]&gt;![if&gt; 2.1 A teneur de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 du Tribunal fédéral 4A_194/2011 du 5 juillet 2011, consid. 5.6.1). Le critère de la subordination doit toutefois être relativisé en ce qui concerne les personnes exerçant des professions typiquement libérales ou ayant des fonctions dirigeantes.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D'autres indices peuvent également militer en faveur du contrat de travail: il s'agit du prélèvement de cotisations sociales sur la rémunération due ou la qualification d'activité lucrative dépendante par les autorités fiscales ou les assurances sociales (arrêt du Tribunal fédéral 4A_602/2013 du 27 mars 2014, consid. 3.2 et les références citées). 2.2 Aux termes de l'art. 333 al. 1 CO, si l'employeur transfère l'entreprise ou une partie de celle-ci à un tiers, les rapports de travail passent à l'acquéreur avec tous les droits et les obligations qui en découlent, au jour du transfert, à moins que le travailleur ne s'y oppose. Il s'agit en particulier de maintenir, pour le travailleur, les droits liés à l'ancienneté (ATF 129 III 335 consid. 5.4.1) Seuls les rapports de travail existant au moment du transfert de l'entreprise passent à l'acquéreur. Ce dernier n'a pas à reprendre des contrats de travail n'existant plus au moment du transfert et le bénéfice de l'art. 333 CO ne peut être invoqué que par les travailleurs dont la relation de travail est en cours à la date du transfert, ce qui sera le cas également lorsque le contrat a déjà été résilié pour une date postérieure au transfert (ATF 134 III 102 consid. 3.1.1). 2.3 En l'occurrence, il est constant que l'appelante a, par le contrat de cession de juillet 2012, et en application de l'art. 333 al. 1 CO, repris les contrats de travail existant, dont il a été expressément stipulé que les bénéficiaires étaient les employés de E.______ SA dont les noms étaient énumérés à l'annexe de la convention. Dans ce document figure le nom de l'intimée, qui apparaît, à l'instar des autres médecins, désignée par le statut "indépendant". On ne discerne pas pour quelle raison l'identité de ces personnes, dont l'intimée, figurerait dans ladite annexe, sinon pour assurer l'exécution de la clause contractuelle – inconditionnelle – y relative, à savoir la reprise des contrats de travail. L'appelante n'a formé aucun allégué à ce propos, pas plus qu'elle n'a exposé ce qu'elle entendait au juste, dans le contexte précité, par le terme "indépendante". L'intimée a produit un contrat de travail conclu avec E.______ SA en 2008, dont l'appelante soutient que sa véracité serait douteuse. S'il a en effet été signé par le fils de l'intimée, cette circonstance n'a rien d'insolite puisque celui-ci était alors l'administrateur de la société précitée, et, pour le surplus, aucun élément ne permet de douter de son authenticité. Le fait qu'il n'ait pas été soumis au responsable des ressources humaines de l'intimée, qui a affirmé dans son témoignage en avoir fait la demande, ne permet pas de déduire, contrairement à l'avis de l'appelante, qu'il était alors inexistant. Les déclarations recueillies vont au demeurant dans le sens d'un contrat de travail, s'agissant de la relation entre les parties. En effet, le témoin M.______ a évoqué la lettre de licenciement envoyée à l'intimée; le témoin J.______ la retenue de salaire effectuée après le licenciement, et l'appelante tenait le détail des absences de l'intimée, dont il résulte que celle-ci n'est plus venue "travailler" après le 1 er février 2013, "probablement date de son licenciement". Selon le nouveau médecin-répondant de E.______ SA l'intimée ne respectait pas ses horaires et sa situation était difficile à gérer; ces remarques au sujet des horaires et de la gestion ne se concilient pas avec l'indépendance que l'appelante prête à l'intimée. La rémunération sous forme de montant mensuel fixe ne plaide pas non plus en ce sens. Quant à l'existence d'un numéro de concordat, elle répond à des exigences de droit public qui ne relèvent pas du rapport liant les parties, et ne sont dès lors pas de nature à apporter un éclairage à leur sujet. Au vu de ces éléments, le Tribunal a retenu à raison que les parties étaient liées par un contrat de travail et que partant il était compétent à raison de la matière pour connaître des prétentions de l'intimée. 3.             L'appelante reproche aux premiers juges d'avoir retenu que le congé avec effet immédiat de l'intimée était dépourvu de justes motifs.![endif]&gt;![if&gt; 3.1 Selon l'art. 337 CO, l'employeur comme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La résiliation immédiate du contrat de travail est exclue lorsque d'autres mesures de moindre importance peuvent être prises. Il doit notamment être tenu compte de l'importance du manquement, de l'existence éventuelle d'un avertissement préalable, de la durée du délai de résiliation ou de l'existence d'un contrat de durée déterminée pour décider si l'employeur peut ou non supporter la poursuite des rapports de travail jusqu'à l'échéance ordinaire, eu égard à l'ensemble des circonstances (Wyler/Heinzer, Droit du travail, 3ème éd., 2014, p. 595).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127 III 310 consid. 4b; 75 II 329 ; arrêt du Tribunal fédéral 4A_236/2012 du 2 août 2012 consid. 2.4, in SJ 2013 I 65).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La prétention du travailleur fondée sur l'art. 337c al. 1 CO est une créance en dommages-intérêts qui inclut non seulement le salaire, y compris en nature, mais également la compensation des autres avantages résultant du contrat de travail, tels que les gratifications ou les indemnités de départ (arrêts du Tribunal fédéral 4C.321/2005 du 27 février 2006, consid. 8.3; 4C.127/2002 du 3 septembre 2002, consid. 4.1 et les références). On impute sur ce montant ce que le travailleur a épargné par suite de la cessation du contrat de travail ainsi que le revenu qu'il a tiré d'un autre travail ou le revenu auquel il a intentionnellement renoncé (art. 337c al. 2 CO). Conformément à l'art. 8 CC, c'est à l'employeur qu'il incombe de prouver, sous réserve du devoir de collaboration de l'intimé, que celui-ci a réalisé un revenu auprès d'un nouvel employeur et, le cas échéant, à combien il s'élève (cf arrêt du Tribunal fédéral 4A_570/2009 , du 7 mai 2010, consid. 7.1). En cas de licenciement immédiat injustifié, l'employé a droit, en sus du salaire pendant le délai de congé (art. 337c al. 1 CO), à une indemnité selon l'art. 337c al. 3 CO. Cette disposition prévoit que le juge peut condamner l'employeur à verser au travailleur une indemnité dont il fixera librement le montant, compte tenu de toutes les circonstances; elle ne peut toutefois dépasser le montant correspondant à six mois de salaire du travailleur. Cette indemnité doit être soigneusement distinguée des droits découlant de l'art. 337c al. 1 CO et s'ajoute à eux (ATF 120 II 209 consid. 9b). Cette indemnité a une double finalité, à la fois réparatrice et punitive. Comme elle est due même si le travailleur ne subit aucun dommage, il ne s'agit pas de dommages-intérêts au sens classique, mais d'une indemnité sui generis,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(ATF 135 III 405 consid. 3.1). 3.2 En l'occurrence, l'appelante n'a pas donné de motifs à la résiliation dans son courrier du 30 janvier 2013. Elle n'en a pas non plus communiqué après que l'intimée en avait fait la demande. Ce n'est qu'à l'occasion de sa réponse de première instance qu'elle a allégué que le comportement de l'intimée (colérique et cassante avec le personnel), dès la reprise d'activité par ses soins, était devenue ingérable et perturbait la bonne marche de la clinique; elle a aussi affirmé que l'horaire attendu était de 100% alors qu'il n'était effectué qu'à 40%, avec annulation de rendez-vous sans préavis, et qu'enfin il y avait impossibilité à établir des rapports convenables avec le nouveau médecin-répondant après le 16 janvier 2013. En ce qui concerne l'attitude de l'intimée envers les collaborateurs, rien de clairement tranché n'est résulté des enquêtes, en ce sens que pour des collaborateurs l'intimée avait un comportement correct avec eux (témoin N.______) et il n'y avait rien à lui reprocher (témoin Q.______), pour d'autres elle n'était pas toujours juste ou gentille avec le personnel (témoin K.______), son attitude variant selon les jours entre agréable et agressive (témoin P.______); le témoin O.______ a qualifié son contact avec elle de courtois et bienveillant. Aucun des témoins n'a visé de période précédant immédiatement le 30 janvier 2013. Le successeur de l'intimée à la fonction de médecin-répondant n'a pas non plus donné de précision temporelle, en particulier sur le laps de temps entre le 16 et le 30 janvier 2013 lorsqu'il a déclaré qu'il ne voyait aucun moyen de collaborer avec elle, que le contact était difficile, et qu'il lui arrivait de ne pas se présenter aux consultations et de ne pas respecter ses horaires. Le directeur des ressources humaines n'a pas non plus fait de déclaration précise: selon lui l'intimée n'était pas soumise à un planning, et il pensait que son taux d'activité était de 40%; l'intimée n'était plus revenue travailler après sa lettre de démission de sa fonction de responsable. Cette dernière déclaration ne correspond pas à ce que l'appelante a relevé dans un courrier électronique du 15 janvier 2014, selon lequel l'intimée n'aurait été absente en janvier 2013 que les jours des 16 et 23. Il résulte de ce qui précède que l'appelante n'a pas établi que l'intimée aurait eu un comportement, en termes de rapports avec les collaborateurs et de respect d'horaires, particulièrement sujet à reproches. L'appelante n'a d'ailleurs pas allégué qu'elle en aurait formulé, encore moins qu'elle aurait émis un avertissement. L'appelante n'a pas non plus démontré qu'il se serait produit quoi que ce soit de nature à rendre impossible la continuation des rapports de travail dans la période précédant la résiliation avec effet immédiat du 30 janvier 2013. Dès lors, les premiers juges ont à raison retenu le caractère injustifié du congé. L'appelante ne développe pas de critique au sujet du principe du salaire alloué par les premiers juges sur la base de l'art. 337c al. 1 CO, de sorte qu'il n'y a pas lieu de s'y arrêter davantage. En ce qui concerne la quotité du salaire dû, aucune modification de contrat n'a été convenue par les parties, de sorte que les conditions contractuelles sont demeurées inchangées. Certes, l'intimée a déclaré démissionner de sa fonction de médecin-responsable. L'appelante n'a toutefois tiré aucune conclusion de ce fait en ce qui concerne le montant du salaire dû; dans sa réponse de première instance, elle n'a formulé aucun allégué à ce sujet. Ce n'est que dans ses dernières conclusions d'appel qu'elle a allégué, sans aucunement le démontrer, que la rémunération de la fonction de médecin-responsable était de 4'000 fr. Partant, il n'y a pas lieu de s'écarter du montant retenu par le Tribunal. Les premiers juges ont en outre condamné l'appelante au versement d'une indemnité sur la base de l'art. 337c al. 3 CO. Comme il l'a déjà été retenu ci-dessus, la fin des rapports de travail sans préavis ne se justifiait pas. Les critères retenus par les premiers juge (ancienneté et âge de l'intimée, de même que les circonstances ayant entouré le congé) pour arrêter le montant dû à l'équivalent de deux mois de salaire sont pertinents, de sorte que celui-ci sera confirmé. 4.             L'appelante reproche encore aux premiers juges de ne pas avoir fait droit à ses conclusions reconventionnelles, dont ils ont considéré qu'elle les avait retirées, voire qu'elles étaient formulées nouvellement.![endif]&gt;![if&gt; Dans sa demande reconventionnelle, l'appelante a formé des allégués généraux sur des dommages-intérêts réclamés à concurrence de 150'000 fr. à l'intimée, parmi lesquels un allégué en lien avec des "rétro-commissions" de laboratoires d'analyse médicale. Dans ses dernières conclusions, elle a déclaré, certes dans un raisonnement confus, qui n'a pas été correctement appréhendé par le Tribunal, qu'elle réduisait ses prétentions à 6'000 fr., vu les pièces versées par le témoin L.______. Il s'ensuit que les chiffres 2 et 3 du dispositif du jugement attaqué sont erronés et seront donc annulés. Pour autant, les prétentions articulées à titre reconventionnel ne sont pas fondées. En effet, le courrier du 13 juillet 2015 déposé par le témoin L.______ n'est assorti d'aucune pièce propre à établir le versement de 6'000 fr. à l'intimée, laquelle n'a pas expressément admis avoir perçu ce montant, de sorte que celui-ci n'est pas établi. En tout état, l'appelante, qui connaissait l'existence sinon le contenu d'un contrat passé avec le laboratoire G.______, ainsi que cela résulte de l'audition du témoin K.______, n'a pas fait interdiction à l'intimée de percevoir lesdits montants, de sorte que l'on ne décèle pas de violation d'obligation contractuelle qui aurait fondé un devoir de restitution de l'intimée. Partant, l'appelante sera déboutée des conclusions prises de ce chef. 5.             L'appelante succombe sur l'essentiel de ses conclusions d'appel, de sorte qu'elle supportera les frais de celui-ci (art. 106 CPC), arrêtés à 300 fr. (art. 71 RTFMC) et compensés avec l'avance effectuée, acquise à l'Etat de Genève.![endif]&gt;![if&gt; Il n'est pas alloué de dépens (art. 22 al. 2 LaCC). * * * * * PAR CES MOTIFS, La Chambre des prud'hommes, groupe 5 : A la forme : Déclare l'appel formé par A.______ SA contre le jugement du 20 janvier 2016 rendu par le Tribunal des prud'hommes recevable contre les chiffres 1 à 4 du dispositif de ce jugement et irrecevable pour le surplus. Au fond : Annule les chiffres 2 et 3 du dispositif de ce jugement. Cela fait, statuant sur ces points: Déboute A.______ SA des fins de sa demande reconventionnelle. Confirme le jugement entrepris pour le surplus. Déboute les parties de toutes autres conclusions. Sur les frais : Arrête les frais de l'appel à 300 fr., compensés avec l'avance déjà opérée, acquise à l'Etat de Genève. Les met à la charge de A.______ SA. Siégeant : Madame Sylvie DROIN, présidente; Monsieur Michael RUDERMANN, juge employeur; Madame Claudine DEMAISON,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