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C/13784/2013 vom 4. Oktober 2013</w:t>
      </w:r>
    </w:p>
    <w:p>
      <w:r>
        <w:t>GE Cour de justice, 2013-10-04, FR</w:t>
      </w:r>
    </w:p>
    <w:p>
      <w:r>
        <w:rPr>
          <w:b/>
        </w:rPr>
        <w:t xml:space="preserve">Quelle: </w:t>
      </w:r>
      <w:r>
        <w:t>https://mcp.opencaselaw.ch/entscheid/ge_gerichte_C_13784_2013</w:t>
      </w:r>
    </w:p>
    <w:p>
      <w:r>
        <w:t>FR: GE_GERICHTE C/13784/2013 du 4 octobre 2013</w:t>
      </w:r>
    </w:p>
    <w:p>
      <w:r>
        <w:t>IT: GE_GERICHTE C/13784/2013 del 4 ottobre 2013</w:t>
      </w:r>
    </w:p>
    <w:p>
      <w:pPr>
        <w:pStyle w:val="Heading2"/>
      </w:pPr>
      <w:r>
        <w:t>Regeste</w:t>
      </w:r>
    </w:p>
    <w:p>
      <w:r>
        <w:t>MAINLEVÉE PROVISOIRE; TITRE DE MAINLEVÉE; INTÉRÊT DÉBITEUR; TAUX D'INTÉRÊT; FRAIS JUDICIAIRES; DÉPENS | LP.82; CO.73; RTFMC.85; RTFMC.89</w:t>
      </w:r>
    </w:p>
    <w:p>
      <w:pPr>
        <w:pStyle w:val="Heading2"/>
      </w:pPr>
      <w:r>
        <w:t>Erwägungen</w:t>
      </w:r>
    </w:p>
    <w:p>
      <w:r>
        <w:rPr>
          <w:b/>
        </w:rPr>
        <w:t>E. 1</w:t>
      </w:r>
    </w:p>
    <w:p>
      <w:r>
        <w:t>1.1 En matière de mainlevée d'opposition, seule la voie du recours est ouverte (art. 309 lit. b ch. 3 et 319 lit. a CPC). La procédure sommaire s'applique (art. 251 let. a CPC). La décision entreprise doit être attaquée dans un délai de dix jours dès sa notification (art. 321 al. 2 CPC) par un recours, écrit et motivé, conforme aux art. 130 et 131 CPC, adressé à la Cour de justice.</w:t>
      </w:r>
    </w:p>
    <w:p>
      <w:r>
        <w:rPr>
          <w:b/>
        </w:rPr>
        <w:t>E. 1.2</w:t>
      </w:r>
    </w:p>
    <w:p>
      <w:r>
        <w:t>Le jugement entrepris a été communiqué aux parties par plis du 18 octobre 2012. Déposé dans les délais et les formes prévus par la loi, le présent recours est recevable.</w:t>
      </w:r>
    </w:p>
    <w:p>
      <w:r>
        <w:rPr>
          <w:b/>
        </w:rPr>
        <w:t>E. 2</w:t>
      </w:r>
    </w:p>
    <w:p>
      <w:r>
        <w:t>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 La procédure de mainlevée est régie par la maxime des débats (art. 55 al. 1 CPC). La preuve est apportée par titres (art. 254 al. 1 CPC).</w:t>
      </w:r>
    </w:p>
    <w:p>
      <w:r>
        <w:rPr>
          <w:b/>
        </w:rPr>
        <w:t>E. 2.2</w:t>
      </w:r>
    </w:p>
    <w:p>
      <w:r>
        <w:t>Les conclusions, les allégations de faits et les preuves nouvelles sont irrecevables (art. 326 al. 1 CPC). Partant, les pièces nouvelles (pièces 3 et 4) produites par le recourant seront déclarées irrecevables, ainsi que les allégués de fait s'y rapportant et ceux évoqués pour la première fois devant la Cour. Il en sera de même concernant les pièces 101 à 104 produites pour la première fois sur recours par l'intimée.</w:t>
      </w:r>
    </w:p>
    <w:p>
      <w:r>
        <w:rPr>
          <w:b/>
        </w:rPr>
        <w:t>E. 3</w:t>
      </w:r>
    </w:p>
    <w:p>
      <w:r>
        <w:t>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Commentaire de la loi fédérale sur la poursuite pour dettes et la faillite, Lausanne 2001,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ACJC/1211/1999 du 25 novembre 1999; JdT 1969 II 32).</w:t>
      </w:r>
    </w:p>
    <w:p>
      <w:r>
        <w:rPr>
          <w:b/>
        </w:rPr>
        <w:t>E. 3.3</w:t>
      </w:r>
    </w:p>
    <w:p>
      <w:r>
        <w:t>Le recourant ne conteste ni devoir le montant en capital, ni l'exigibilité de la dette dans la mesure où il conclut lui-même à la mainlevée de l'opposition à concurrence de 100'000 fr. Il conteste, en revanche, devoir le montant de 20'000 fr. qu'il considère comme correspondant à des intérêts usuraires. Son argumentation juridique se fonde sur l'exception d'erreur essentielle et sur la contrariété avec les bonnes mœurs du taux convenu. L'exception d'erreur essentielle n'est pas recevable devant la Cour, dans la mesure où elle se fonde sur des faits qui n'ont pas été constatés par le premier juge. Le grief tiré du taux usuraire repose sur la question de savoir quelles dispositions légales sont applicables, question que la Cour de céans peut aborder avec un plein pouvoir d'examen.</w:t>
      </w:r>
    </w:p>
    <w:p>
      <w:r>
        <w:rPr>
          <w:b/>
        </w:rPr>
        <w:t>E. 4</w:t>
      </w:r>
    </w:p>
    <w:p>
      <w:r>
        <w:t>4.1 Le taux d'intérêt d'une dette en argent est fixé librement par les parties puisqu'il s'agit d'une question relevant du droit dispositif (art. 73 al. 1 CO; Leu, Basler Kommentar, 2011, n. 4 ad art. 73 CO). La question d'un taux maximal pour les intérêts conventionnels peut cependant être réglée, soit par le droit public cantonal (art. 73 al. 2 CO), soit par la législation fédérale de droit privé (art. 14 LCC), soit par l'application de principes généraux tels que la contrariété aux mœurs (art. 20 al. 1 CO) ou la lésion (art. 21 CO). La Loi sur le crédit à la consommation ne s'applique pas aux contrats de crédit portant sur un montant inférieur à 500 fr. ou supérieur à 80'000 fr. (art. 7 al. 1 let. e LCC). Concernant le taux maximal des intérêts conventionnels, l'abrogation du Concordat intercantonal réprimant les abus en matière d'intérêts conventionnels en 2005, a créé une lacune pour tous les contrats qui ne sont pas soumis à la loi sur le crédit à la consommation (cf. Marchand, Intérêts et conversion dans l'action en paiement, in Quelques actions en paiement, Neuchâtel, CEMAJ, 2009 p. 73).</w:t>
      </w:r>
    </w:p>
    <w:p>
      <w:r>
        <w:rPr>
          <w:b/>
        </w:rPr>
        <w:t>E. 4.2</w:t>
      </w:r>
    </w:p>
    <w:p>
      <w:r>
        <w:t>En l'espèce, le recourant s'est engagé en contrepartie de la mise à disposition par l'intimée de la somme de 100'000 fr. à lui verser 110'000 fr. à trois mois et 120'000 à six mois, à compter du jour où le montant serait sur son compte bancaire. Le texte de cette reconnaissance de dette est clair, ce que les parties ne contestent au demeurant pas. Elle vaut titre de mainlevée au sens de l'art. 82 LP. Les parties ne s'accordant pas sur les motifs de la somme dépassant 100'000 fr. (dont il est constant qu'il s'agit de la quotité du prêt), il y aurait lieu d'interpréter leurs volontés afin de déterminer le fondement de l'obligation, voire sa validité. Or, l'interprétation de la volonté des parties ne peut être menée dans la cadre de la procédure de mainlevée provisoire. Partant, c'est à juste titre que le premier juge a prononcé la mainlevée provisoire de l'opposition formée par le recourant au commandement de payer litigieux. Le recours devra dès lors être rejeté sur ce point.</w:t>
      </w:r>
    </w:p>
    <w:p>
      <w:r>
        <w:rPr>
          <w:b/>
        </w:rPr>
        <w:t>E. 5</w:t>
      </w:r>
    </w:p>
    <w:p>
      <w:r>
        <w:t>Le recourant se plaint de la quotité des dépens mis à sa charge, soit 2'687 fr. TTC, et sollicite que ceux-ci soient réduits à 500 fr. TTC. A l'appui de ses conclusions, le recourant fait valoir en substance que la cause présentait un faible degré de complexité ce qui justifiait la réduction sollicitée. L'intimée conclut, quant à elle, au rejet des conclusions, le Tribunal ayant correctement appliqué le tarif des art. 85 et 89 RTFMC.</w:t>
      </w:r>
    </w:p>
    <w:p>
      <w:r>
        <w:rPr>
          <w:b/>
        </w:rPr>
        <w:t>E. 5.1</w:t>
      </w:r>
    </w:p>
    <w:p>
      <w:r>
        <w:t>Les art. 95 et 96 CPC ne prescrivent ni la façon de fixer l'indemnité due à titre de dépens, ni de plancher et/ou de plafond à celle-ci et l'art. 105 al 2 CPC se limite à renvoyer au tarif cantonal prévu par l'art. 96 CPC. Il est toutefois admis que lesdits dépens doivent en principe couvrir l'entier des frais d'avocat effectivement consentis et conformes aux règles habituelles en la matière, les parties étant d'ailleurs autorisées à produire une note de frais (art. 105 al. 2 in fine CPC), Dans les contestations portant sur des affaires pécuniaires, le défraiement d'un représentant professionnel est, en règle générale, proportionnel à la valeur litigieuse, fixé, dans les limites du Règlement fixant le tarif des frais en matière civile [RTFMC], d'après l'importance de la cause, ses difficultés, l'ampleur du travail et le temps employé (art. 20 LaCC et 84 RTFMC). Au défraiement s'ajoutent les débours nécessaires, estimés sauf éléments contraires à 3% de celui-ci, ainsi que la TVA (art. 25 et 26 al. 1 LaCC), En cas de disproportion manifeste entre la valeur litigieuse et l'intérêt des parties au procès ou entre le taux applicable et le travail effectif de l'avocat, la juridiction peut fixer un défraiement inférieur ou supérieur aux taux minimums et maximums prévus (art. 23 LaCC). Sur ce dernier point, l'art. 85 RTFMC prévoit que le défraiement calculé sur la base du tarif, peut s'en écarter de plus ou moins 10% pour tenir compte des éléments rappelés à l'art. 84 RTFMC, "sans préjudice de l'art. 23 LaCC". Pour une valeur litigieuse comprise au-delà de 80'000 fr. et jusqu'à 160'000 fr., l'art. 85 RTFMC prévoit un défraiement de 9'700 fr. + 6% de la valeur litigieuse dépassant 80'000 fr., ce qui représente, pour une valeur litigieuse de 120'000 fr. comme en l'espèce, un défraiement de 12'100 fr. En procédure sommaire, relevant de la loi sur la poursuite et la faillite, ce montant peut dans la règle être réduit à deux tiers et au plus à un cinquième (art. 89 RTFMC), soit à un montant compris, in casu, entre 8'066 fr. et 2'420 fr.</w:t>
      </w:r>
    </w:p>
    <w:p>
      <w:r>
        <w:rPr>
          <w:b/>
        </w:rPr>
        <w:t>E. 5.2</w:t>
      </w:r>
    </w:p>
    <w:p>
      <w:r>
        <w:t>En l'espèce, en l'absence de motivation, la Cour constate que le premier juge a vraisemblablement calculé le défraiement en application des art. 85 et 89 RTFMC, et a retenu un montant de l'ordre de 2'400 fr., auquel il a ajouté les débours (3%, art. 25 LaCC) et la TVA (8%, art. 26 al. 1 LaCC), montant se situant dans le bas de la "fourchette" prévue à l'art. 89 RTFMC. Ce calcul théorique ne peut être appliqué de manière schématique, sans examen de l'adéquation du montant calculé sur la base de la valeur litigieuse aux critères définis à l'art. 20 LaCC, lesquels sont d'ailleurs repris du droit fédéral (cf. Rapport relatif à l'avant-projet du CPC, p. 51, avec renvoi aux ATF 120 Ia 171 , 124 I 241 et 126 I 180 ). A cet égard, la cause, soit une demande de mainlevée provisoire fondée sur une reconnaissance de dette, ne présentait pas de difficultés particulières, et l'activité déployée par le conseil de l'intimée, qui ne représentait pas celle-ci à l'audience du tribunal, n'a pas été de grande ampleur (requête de mainlevée motivée sur 3 pages, page de garde et conclusions incluses, accompagnée de quatre pièces, procuration non comprise). La Cour considère dès lors, que le montant alloué de 2'687 fr. TTC n'est pas en adéquation avec les difficultés de la cause, l'ampleur du travail accompli et le temps nécessairement consacré (art. 20 LaCC). Les dépens de 2'420 fr. seront réduits de 25% en application des art. 23 LaCC et 85 RTFMC et fixés, en chiffres ronds, à 2'000 fr. y compris les débours et la TVA. Le recours sera dès lors admis sur ce point. Le chiffre 4 du jugement entrepris sera modifié en ce sens que A______ sera condamné à verser 2'000 fr. à B______ à titre de dépens.</w:t>
      </w:r>
    </w:p>
    <w:p>
      <w:r>
        <w:rPr>
          <w:b/>
        </w:rPr>
        <w:t>E. 6</w:t>
      </w:r>
    </w:p>
    <w:p>
      <w:r>
        <w:t>Le recourant, qui succombe en très grande partie, supportera 90%, soit 1'010 fr., des frais de son recours (art. 106 al. 1 CPC), arrêtés à 1'125 fr. (art. 48 et 61 al. 1 OELP) et correspondant à l'avance de frais déjà opérée par le recourant, qui reste acquise à l'Etat par compensation (art. 111 al. 1 CPC). L'intimée supportera le solde soit 115 fr. Le recourant sera également condamné aux dépens de l'intimée assistée d'un conseil devant la Cour, arrêtés à 1'000 fr., débours et TVA compris (art. 96 et 105 al. 2 CPC; art. 20 LaCC, art. 85, 89 et 90 RTFMC; art. 25 et 26 LaCC; art. 25 LTVA).</w:t>
      </w:r>
    </w:p>
    <w:p>
      <w:r>
        <w:rPr>
          <w:b/>
        </w:rPr>
        <w:t>E. 7</w:t>
      </w:r>
    </w:p>
    <w:p>
      <w:r>
        <w:t>La valeur litigieuse au sens de l'art. 51 LTF est supérieure à 30'000 fr. * * * * * PAR CES MOTIFS, La Chambre civile : A la forme : Déclare recevable le recours interjeté par A______ contre le jugement JTPI/13267/2013 rendu le 4 octobre 2013 par le Tribunal de première instance dans la cause C/13784/2013-8 SML. Déclare irrecevables les pièces produites par A______, sous cote 3 et 4 de son chargé et les pièces produites par B______ sous cote 101 à 104 de son chargé, ainsi que les allégués de faits y relatifs. Au fond : Annule le chiffre 4 du jugement entrepris et, statuant à nouveau : Condamne A______ à verser à B______ 2'000 fr. à titre de dépens. Rejette le recours pour le surplus. Déboute les parties de toute autre conclusion. Sur les frais du recours : Arrête les frais judiciaires à 1'125 fr. et dit qu'ils sont entièrement couverts par l'avance de frais fournie par A______, acquise à l'Etat. Les met à la charge de A______ à hauteur de 1'110 fr. et à charge de B______ à hauteur de 115 fr. Condamne B______ à verser à A______ la somme de 115 fr. Condamne A______ à verser à B______ 1'000 fr. à titre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