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C/13601/2017 vom 22. August 2018</w:t>
      </w:r>
    </w:p>
    <w:p>
      <w:r>
        <w:t>GE Cour de justice, 2018-08-22, FR</w:t>
      </w:r>
    </w:p>
    <w:p>
      <w:r>
        <w:rPr>
          <w:b/>
        </w:rPr>
        <w:t xml:space="preserve">Quelle: </w:t>
      </w:r>
      <w:r>
        <w:t>https://mcp.opencaselaw.ch/entscheid/ge_gerichte_C_13601_2017</w:t>
      </w:r>
    </w:p>
    <w:p>
      <w:r>
        <w:t>FR: GE_GERICHTE C/13601/2017 du 22 août 2018</w:t>
      </w:r>
    </w:p>
    <w:p>
      <w:r>
        <w:t>IT: GE_GERICHTE C/13601/2017 del 22 agosto 2018</w:t>
      </w:r>
    </w:p>
    <w:p>
      <w:pPr>
        <w:pStyle w:val="Heading2"/>
      </w:pPr>
      <w:r>
        <w:t>Regeste</w:t>
      </w:r>
    </w:p>
    <w:p>
      <w:r>
        <w:t>EFFET SUSPENSIF ; OBLIGATION D'ENTRETIEN | CPC.315</w:t>
      </w:r>
    </w:p>
    <w:p>
      <w:pPr>
        <w:pStyle w:val="Heading2"/>
      </w:pPr>
      <w:r>
        <w:t>Volltext</w:t>
      </w:r>
    </w:p>
    <w:p>
      <w:r>
        <w:t>Genf Cour de Justice (Cour civile) Chambre civile 05.10.2018 C/13601/2017 Genève Cour de Justice (Cour civile) Chambre civile 05.10.2018 C/13601/2017 Ginevra Cour de Justice (Cour civile) Chambre civile 05.10.2018 C/13601/2017</w:t>
      </w:r>
    </w:p>
    <w:p>
      <w:r>
        <w:t>EFFET SUSPENSIF ; OBLIGATION D'ENTRETIEN | CPC.315</w:t>
      </w:r>
    </w:p>
    <w:p>
      <w:r>
        <w:t>C/13601/2017 ACJC/1356/2018 du 05.10.2018 sur JTPI/12672/2018 ( SDF ) Descripteurs : EFFET SUSPENSIF ; OBLIGATION D'ENTRETIEN Normes : CPC.315 Par ces motifs RÉPUBLIQUE ET CANTON DE GENÈVE POUVOIR JUDICIAIRE C/13601/2017 ACJC/1356/2018 ARRÊT DE LA COUR DE JUSTICE Chambre civile du VENDREDI 5 OCTOBRE 2018 Entre Monsieur A______ , domicilié ______, appelant d'un jugement rendu par la 13 ème Chambre du Tribunal de première instance de ce canton le 22 août 2018, comparant par Me Marc Lironi, avocat, boulevard Georges-Favon 19, case postale 5121, 1211 Genève 11, en l'étude duquel il fait élection de domicile, et Madame B______ , domiciliée ______, intimée, comparant par Me Pietro Rigamonti, avocat, place de la Taconnerie 3-5, 1204 Genève, en l'étude duquel elle fait élection de domicile. Attendu, EN FAIT , que par jugement du 22 août 2018, le Tribunal de première instance, statuant sur mesures protectrices de l'union conjugale, a notamment condamné A______ à verser en mains B______, par mois et d'avance, allocations familiales non comprises, à partir du 1 er juillet 2017, un montant de 850 fr. à titre de contribution à l'entretien de l'enfant C______, sous déduction de 6'276 fr. 20 (ch. 5 du dispositif); Que par acte déposé au greffe de la Cour le 5 septembre 2018, A______ a formé appel contre le ch. 5 précité du dispositif du jugement du 22 août 2018; qu'il a conclu, en substance à ce qu'il soit dit et constaté qu'il devait verser une contribution de 375 fr. par mois à titre de contribution à l'entretien de l'enfant C______; Qu'il a exposé notamment que ses revenus s'élevaient à 7'350 fr. et ses charges incompressibles à 5'662 fr. 33, lui laissant ainsi un disponible de 1'687 fr. 67; Qu'il a requis, sans prendre de conclusion formelle à cet égard, que l'effet suspensif soit accordé à son appel; qu'il a fait valoir que le versement de la contribution d'entretien, ainsi que de l'arriéré dû pour la période de juillet 2017 à août 2018 lui causait un préjudice financier direct et important; Qu'invité à se déterminer à cet égard, B______ a conclu au rejet de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4P_5/2002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ressort des explications de l'appelant que, même à le suivre, il dispose d'un solde de 1'687 fr.; qu'un tel montant lui permet de s'acquitter de la contribution d'entretien de 850 fr. fixée par le Tribunal, sans entamer son minimum vital; qu'il ne rend dès lors pas vraisemblable que le paiement de la contribution d'entretien lui cause un préjudice difficilement réparable; Que l'appelant allègue en outre que le versement de l'arriéré de contributions d'entretien ne lui permet pas de couvrir ses charges disponibles, sans apporter aucun élément permettant d'étayer et de rendre vraisemblable cette affirmation; qu'il ne soutient notamment pas qu'il ne dispose pas d'une fortune suffisante pour s'acquitter de l'arriéré; Qu'au vu de ce qui précède, la requête tendant à suspendre le caractère exécutoire du jugement attaqué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jugement JTPI/12672/2018 rendu le 22 août 2018 par le Tribunal de première instance dans la cause C/13601/2017-13.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