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C/134/2020 vom 20. Februar 2020</w:t>
      </w:r>
    </w:p>
    <w:p>
      <w:r>
        <w:t>GE Cour de justice, 2020-02-20, FR</w:t>
      </w:r>
    </w:p>
    <w:p>
      <w:r>
        <w:rPr>
          <w:b/>
        </w:rPr>
        <w:t xml:space="preserve">Quelle: </w:t>
      </w:r>
      <w:r>
        <w:t>https://mcp.opencaselaw.ch/entscheid/ge_gerichte_C_134_2020</w:t>
      </w:r>
    </w:p>
    <w:p>
      <w:r>
        <w:t>FR: GE_GERICHTE C/134/2020 du 20 février 2020</w:t>
      </w:r>
    </w:p>
    <w:p>
      <w:r>
        <w:t>IT: GE_GERICHTE C/134/2020 del 20 febbraio 2020</w:t>
      </w:r>
    </w:p>
    <w:p>
      <w:pPr>
        <w:pStyle w:val="Heading2"/>
      </w:pPr>
      <w:r>
        <w:t>Volltext</w:t>
      </w:r>
    </w:p>
    <w:p>
      <w:r>
        <w:t>Genève Cour de Justice (Cour civile) Chambre civile (Sommaires) 02.03.2020 C/134/2020</w:t>
      </w:r>
    </w:p>
    <w:p>
      <w:r>
        <w:t>C/134/2020 ACJC/366/2020 du 02.03.2020 sur JTPI/2667/2020 ( SFC ) , JUGE Par ces motifs République et canton de Genève POUVOIR JUDICIAIRE Cour de justice civile Chambre civile Recourant : Intimée : Monsieur A______ ______ ______ B______ [assurance-maladie] ______ ______ C/134/2020 ACJC/366/2020 DU LUNDI 2 MARS 2020 Vu le jugement JTPI/2667/2020 du 20 février 2020 prononçant la faillite de A______ (ch. 1 du jugement) ; Vu le recours contre ledit jugement formé le 2 mars 2020 par A______, dans le délai et la forme prescrits par l'art. 321 al. 1 et 2 CPC 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 ; Vu en droit les articles 174 LP, 309 let. b ch. 7 et 319 ss CPC. PAR CES MOTIFS, La Chambre civile : Annule le chiffre 1 du dispositif du jugement de faillite N° JTPI/2667/2020 rendu par le Tribunal de première instance le 20 février 2020 dans la cause C/134/2020-5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