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C/13424/2013 vom 26. September 2014</w:t>
      </w:r>
    </w:p>
    <w:p>
      <w:r>
        <w:t>GE Cour de justice, 2014-09-26, FR</w:t>
      </w:r>
    </w:p>
    <w:p>
      <w:r>
        <w:rPr>
          <w:b/>
        </w:rPr>
        <w:t xml:space="preserve">Quelle: </w:t>
      </w:r>
      <w:r>
        <w:t>https://mcp.opencaselaw.ch/entscheid/ge_gerichte_C_13424_2013</w:t>
      </w:r>
    </w:p>
    <w:p>
      <w:r>
        <w:t>FR: GE_GERICHTE C/13424/2013 du 26 septembre 2014</w:t>
      </w:r>
    </w:p>
    <w:p>
      <w:r>
        <w:t>IT: GE_GERICHTE C/13424/2013 del 26 settembre 2014</w:t>
      </w:r>
    </w:p>
    <w:p>
      <w:pPr>
        <w:pStyle w:val="Heading2"/>
      </w:pPr>
      <w:r>
        <w:t>Regeste</w:t>
      </w:r>
    </w:p>
    <w:p>
      <w:r>
        <w:t>EFFET SUSPENSIF | CPC.325</w:t>
      </w:r>
    </w:p>
    <w:p>
      <w:pPr>
        <w:pStyle w:val="Heading2"/>
      </w:pPr>
      <w:r>
        <w:t>Volltext</w:t>
      </w:r>
    </w:p>
    <w:p>
      <w:r>
        <w:t>Genf Cour de Justice (Cour civile) Chambre civile 26.09.2014 C/13424/2013 Genève Cour de Justice (Cour civile) Chambre civile 26.09.2014 C/13424/2013 Ginevra Cour de Justice (Cour civile) Chambre civile 26.09.2014 C/13424/2013</w:t>
      </w:r>
    </w:p>
    <w:p>
      <w:r>
        <w:t>EFFET SUSPENSIF | CPC.325</w:t>
      </w:r>
    </w:p>
    <w:p>
      <w:r>
        <w:t>C/13424/2013 ACJC/1163/2014 du 26.09.2014 sur OTPI/980/2014 ( SOM ) Descripteurs : EFFET SUSPENSIF Normes : CPC.325 RÉPUBLIQUE ET CANTON DE GENÈVE POUVOIR JUDICIAIRE C/13424/2013 ACJC/1163/2014 ARRÊT DE LA COUR DE JUSTICE Chambre civile du VENDREDI 26 SEPTEMBRE 2014 Entre Monsieur A______ , domicilié ______, Madame et Monsieur B______ et C______ , domiciliés ______, recourants contre l'ordonnance rendue par la 2ème Chambre du Tribunal de première instance de ce canton le 11 juillet 2014, comparant tous trois par Me J______, avocat, ______, en l'étude duquel ils font élection de domicile, et D______ , ayant son siège ______, intimée, comparant par Me H______, avocat, ______, en l'étude duquel elle fait élection de domicile. Vu, EN FAIT , l'ordonnance de preuve OTPI/980/2014 rendue par le Tribunal de première instance le 11 juillet 2014, notifiée le 16 juillet 2014, dans la cause qui oppose D______ à A______, B______ et C______, par laquelle le Tribunal a ordonné "l'apport de la procédure pénale P/1______ (sans les pièces bancaires)" et fixé les plaidoiries finales orales au 3 octobre 2014; Que D______ fonde sa demande sur un contrat intitulé "Credit Facility and Management Agreement", au terme duquel elle réclame la restitution de 332'467 US$ à A______ et au couple B______ et C______; Que ceux-ci s'opposent à la demande, faisant notamment valoir que les tribunaux genevois ne sont pas compétents à raison du lieu pour trancher le litige, que D______ ne dispose pas de la légitimation active, celle-ci revenant à E______ et qu'il y aurait lieu de suspendre la procédure dans l'attente de l'issue de la procédure pénale; Que, par ordonnance du 20 novembre 2013, le Tribunal a limité la procédure aux questions de la suspension, de la compétence et de la légitimation active de D______; Que les défendeurs soutiennent, en outre, que F______ est le directeur d'I______, qui est entièrement détenue par D______, dont F______ serait ayant droit économique; Qu'une procédure pénale, initiée par les défendeurs à l'encontre notamment d'F______ pour escroquerie, gestion déloyale et abus de confiance est actuellement pendante; Que, dans ce cadre, le Ministère public a ordonné le dépôt du compte-client de l'Etude G______, dont l'associé, Me H______, représente les intérêts de D______ et de E______, cette mesure faisant cependant l'objet d'un recours actuellement pendant devant le Tribunal fédéral; Vu le recours formé le 25 août 2014 par A______, B______ et C______ contre l'ordonnance du 11 juillet 2014, dont ils demandent l'annulation en tant qu'elle exclut l'apport des pièces bancaires, faisant essentiellement valoir que lesdites pièces établissent le lien entre F______ et D______; Que les recourants sollicitent, à titre préalable, l'octroi de l'effet suspensif, n'exposant cependant pas de motifs à l'appui de leur requête; Que l'intimée conclut, principalement, au rejet de la requête d'effet suspensif ainsi qu'à l'irrecevabilité du recours, relevant que la requête n'est pas motivée et que la décision dont est recours n'est pas susceptible de causer aux recourants un dommage difficilement réparable;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convient en premier lieu de relever que la requête d'effet suspensif est dépourvue de motivation; Que, par ailleurs, au vu de l'argumentation des recourants, le risque d'un préjudice difficilement réparable n'est pas manifeste; Qu'en effet, la décision d'exclure les pièces bancaires contenues dans la procédure pénale dont l'apport a été ordonné pourra, le cas échéant et en cas de jugement défavorable pour les recourants, être contestée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 dès lors, la requête des recourants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B______ et C______ tendant à la suspension de l'effet exécutoire à l'ordonnance OTPI/980/2014 rendue le 11 juillet 2014 par le Tribunal de première instance dans la procédure C/13424/2013-2.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