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C/13228/2016 vom 28. November 2016</w:t>
      </w:r>
    </w:p>
    <w:p>
      <w:r>
        <w:t>GE Cour de justice, 2016-11-28, FR</w:t>
      </w:r>
    </w:p>
    <w:p>
      <w:r>
        <w:rPr>
          <w:b/>
        </w:rPr>
        <w:t xml:space="preserve">Quelle: </w:t>
      </w:r>
      <w:r>
        <w:t>https://mcp.opencaselaw.ch/entscheid/ge_gerichte_C_13228_2016</w:t>
      </w:r>
    </w:p>
    <w:p>
      <w:r>
        <w:t>FR: GE_GERICHTE C/13228/2016 du 28 novembre 2016</w:t>
      </w:r>
    </w:p>
    <w:p>
      <w:r>
        <w:t>IT: GE_GERICHTE C/13228/2016 del 28 novembre 2016</w:t>
      </w:r>
    </w:p>
    <w:p>
      <w:pPr>
        <w:pStyle w:val="Heading2"/>
      </w:pPr>
      <w:r>
        <w:t>Regeste</w:t>
      </w:r>
    </w:p>
    <w:p>
      <w:r>
        <w:t>DÉCISION D'IRRECEVABILITÉ ; CAS CLAIR ; ÉVACUATION(EN GÉNÉRAL) ; DEMEURE ; COMPENSATION DE CRÉANCES | CPC.257; CO.257.d; CO.120;</w:t>
      </w:r>
    </w:p>
    <w:p>
      <w:pPr>
        <w:pStyle w:val="Heading2"/>
      </w:pPr>
      <w:r>
        <w:t>Erwägungen</w:t>
      </w:r>
    </w:p>
    <w:p>
      <w:r>
        <w:rPr>
          <w:b/>
        </w:rPr>
        <w:t>E. 1</w:t>
      </w:r>
    </w:p>
    <w:p>
      <w:r>
        <w:t>La Chambre des baux et loyers connaît des appels et des recours dirigés contre les jugements du Tribunal des baux et loyers (art. 122 let. a LOJ). Selon l'art. 121 al. 2 LOJ,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Selon la jurisprudence constante du Tribunal fédéral, les contestations portant sur l'usage d'une chose louée sont de nature pécuniaire (arrêts du Tribunal fédéral 4A_447/2013 du 20 novembre 2013 consid. 1; 4A_72/2007 du 22 août 2007 consid. 2). 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 dans le cadre de laquelle la question de la validité du congé ne se pose pas. Le montant du loyer étant de 4'500 fr. par mois, la valeur litigieuse est supérieure à 10'000 fr. (4'500 fr. x 9 = 40'500 fr.).</w:t>
      </w:r>
    </w:p>
    <w:p>
      <w:r>
        <w:rPr>
          <w:b/>
        </w:rPr>
        <w:t>E. 2.3</w:t>
      </w:r>
    </w:p>
    <w:p>
      <w:r>
        <w:t>Interjeté dans le délai et suivant la forme prescrits par la loi (art. 130, 131, 311 al. 1 CPC), l'appel est recevable.</w:t>
      </w:r>
    </w:p>
    <w:p>
      <w:r>
        <w:rPr>
          <w:b/>
        </w:rPr>
        <w:t>E. 2.4</w:t>
      </w:r>
    </w:p>
    <w:p>
      <w:r>
        <w:t>La Cour revoit la cause avec un plein pouvoir d'examen (art. 310 CPC; HOHL, procédure civile, tome II, 2010, n. 2314 et 2416; RETORNAZ, in : procédure civile suisse, Les grands thèmes pour les praticiens, 2010, p. 349 et suivantes, n. 121).</w:t>
      </w:r>
    </w:p>
    <w:p>
      <w:r>
        <w:rPr>
          <w:b/>
        </w:rPr>
        <w:t>E. 3</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(arrêts du Tribunal fédéral 4A_312/2013 du 17 octobre 2013 consid. 3.1; 4A_420/2012 du 7 novembre 2012 consid. 5, in SJ 2013 I 129).</w:t>
      </w:r>
    </w:p>
    <w:p>
      <w:r>
        <w:rPr>
          <w:b/>
        </w:rPr>
        <w:t>E. 3.2</w:t>
      </w:r>
    </w:p>
    <w:p>
      <w:r>
        <w:t>En l'espèce, les intimés, défendeurs en première instance, ont produit des pièces nouvelles à l'appui de leur duplique du 31 octobre 2016, établies postérieurement au dépôt de leur réponse. Ces pièces, ainsi que les allégués de fait s'y rapportant, sont recevables, étant précisé qu'elles ne sont pas déterminantes pour l'issue du litige.</w:t>
      </w:r>
    </w:p>
    <w:p>
      <w:r>
        <w:rPr>
          <w:b/>
        </w:rPr>
        <w:t>E. 4</w:t>
      </w:r>
    </w:p>
    <w:p>
      <w:r>
        <w:t>L'appelant fait valoir que tant la situation de fait que la situation juridique étaient claires, de sorte que les premiers juges devaient considérer le cas comme clair et partant prononcer l'évacuation des intimés.</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 262 consid. 3.).</w:t>
      </w:r>
    </w:p>
    <w:p>
      <w:r>
        <w:rPr>
          <w:b/>
        </w:rPr>
        <w:t>E. 4.2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 A la fin du bail, le locataire doit restituer la chose dans l'état qui résulte d'un usage conforme au contrat (art. 267 CO).</w:t>
      </w:r>
    </w:p>
    <w:p>
      <w:r>
        <w:rPr>
          <w:b/>
        </w:rPr>
        <w:t>E. 4.3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Une requête en expulsion d'un locataire selon la procédure de protection dans les cas clairs est admissible même lorsque le locataire attaque en justice le congé donné par le bailleur et que cette procédure est pendante (ATF 141 III 262 consid. 3). Le cas n'est pas clair lorsque le défendeur fait valoir des objections motivées et concluantes que les faits ne permettent pas de réfuter de manière immédiate et qui sont de nature à ébranler la conviction du juge. En revanche, le cas est clair lorsque, sur la base du dossier, le juge parvient à la conclusion que la prétention du demandeur est fondée et qu'un examen plus détaillé des objections avancées par le défendeur n'y changerait rien (ATF 138 III 620 consid. 5.1.1).</w:t>
      </w:r>
    </w:p>
    <w:p>
      <w:r>
        <w:rPr>
          <w:b/>
        </w:rPr>
        <w:t>E. 4.4</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p. 626),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(cf. JEANDIN, in Commentaire romand, 2ème éd. 2012, n. 18 s. ad art. 120 CO; AEPLI, Commentaire zurichois, 3ème éd. 1991, n. 148 ad art. 120 CO; ZELLWEGER-GUTKNECHT, Commentaire bernois, 2012, n. 329 ss ad art. 120 CO; TERCIER et ALII, Les contrats spéciaux, 4ème éd. 2009, n. 2399).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cf. toutefois arrêt 4A_472/2008 du 26 janvier 2009 consid. 4.2.3, in RtiD 2009 II 681 ,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 4A_250/2014 du 06 août 2014 consid. 5.1 et 5.2).</w:t>
      </w:r>
    </w:p>
    <w:p>
      <w:r>
        <w:rPr>
          <w:b/>
        </w:rPr>
        <w:t>E. 4.5</w:t>
      </w:r>
    </w:p>
    <w:p>
      <w:r>
        <w:t>Dans le présent cas, il n'est pas contesté que les intimés n'ont pas procédé au paiement de l'intégralité des loyers requis par l'appelant. Toutefois, l'intimé C______ a allégué avoir déclaré, dans les semaines suivant la conclusion du contrat de bail, compenser les loyers avec les commissions qui lui étaient dues par l'appelant, dans le cadre de leurs relations d'affaires (courtage). Cette compensation aurait été faite oralement, ce que l'appelant conteste. A l'instar du Tribunal, la Cour retient que l'appelant a admis avoir été en relations d'affaires avec l'intimé C______. Ce dernier a fourni un certain nombre d'indications sur des contrats de courtage qui auraient été conclus avec l'appelant et les montants en relation avec lesdites commissions de courtage. Ainsi, il ne s'agit pas d'une compensation invoquée dans le cadre du délai comminatoire, mais d'une compensation opérée avant même celle-ci. La situation est dès lors différente de celle ayant donné lieu à l'arrêt rendu par le Tribunal fédéral susmentionné le 6 août 2014. Par conséquent, le Tribunal a à bon droit retenu que l'état de fait n'était pas clair sur ce point et nécessitait une instruction complète des preuves, notamment en procédant à l'audition de témoins, et que cette exception de compensation ne pouvait être écartée de manière immédiate. Il a ainsi à bon droit retenu que les moyens de défense des intimés étaient de nature à ébranler sa conviction, dès lors qu'il n'était pas dépourvu de toute crédibilité que les parties aient convenu de compenser une partie des loyers avec les commissions alléguées par les intimés, notamment au vu des faibles revenus de C______ et de l'importance du montant du loyer. Les conditions du cas clair n'étant pas remplies, la requête devait être déclarée irrecevable, ce que les premiers juges ont constaté à bon droit. L'appelant sera en conséquence débouté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octobre 2016 par A______ contre le jugement JTBL/861/2016 rendu le 19 septembre 2016 par le Tribunal des baux et loyers dans la cause C/13228/2016-7-SE. Au fond : Confirme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