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C/13219/2011 vom 6. September 2011</w:t>
      </w:r>
    </w:p>
    <w:p>
      <w:r>
        <w:t>GE Cour de justice, 2011-09-06, FR</w:t>
      </w:r>
    </w:p>
    <w:p>
      <w:r>
        <w:rPr>
          <w:b/>
        </w:rPr>
        <w:t xml:space="preserve">Quelle: </w:t>
      </w:r>
      <w:r>
        <w:t>https://mcp.opencaselaw.ch/entscheid/ge_gerichte_C_13219_2011</w:t>
      </w:r>
    </w:p>
    <w:p>
      <w:r>
        <w:t>FR: GE_GERICHTE C/13219/2011 du 6 septembre 2011</w:t>
      </w:r>
    </w:p>
    <w:p>
      <w:r>
        <w:t>IT: GE_GERICHTE C/13219/2011 del 6 settembre 2011</w:t>
      </w:r>
    </w:p>
    <w:p>
      <w:pPr>
        <w:pStyle w:val="Heading2"/>
      </w:pPr>
      <w:r>
        <w:t>Regeste</w:t>
      </w:r>
    </w:p>
    <w:p>
      <w:r>
        <w:t>; MESURE PROVISIONNELLE ; SOCIÉTÉ ANONYME ; ASSEMBLÉE GÉNÉRALE ; ANNULABILITÉ | 1.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C'est au président de l'assemblée générale, soit en général le président du conseil d'administration qu'il incombe de diriger la réunion et les délibérations. 2. Sauf en cas d'assemblée universelle, qui réunit tous les propriétaires ou les représentants de la totalité des actions (art. 701 CO), sont annulables les décisions prises par une assemblée générale qui n'aurait pas été valablement convoquée du point de vue formel. 3. Les décisions qui sont prises par une assemblée générale convoquée par une personne dénuée de la compétence pour ce faire font partie de celles qui négligent les structures de base de la société anonyme. 4. Application par analogie de la jurisprudence fédérale ayant sanctionné de nullité les décisions prises par une assemblée générale d'association convoquée par un secrétaire qui n'avait pas qualité pour ce faire d'après la loi ou les statuts. 5. Le fait qu'une société soit gérée par une personne non dûment légitimée pour ce faire est susceptible de causer un dommage difficilement réparable, en raison du nombre, de la diversité et de l'importance des décisions qu'il a, en apparence, tout pouvoir de prendre. | CPC.262.C. CO.699.1. CO.699.4. CO.706B.3. CO.707.1</w:t>
      </w:r>
    </w:p>
    <w:p>
      <w:pPr>
        <w:pStyle w:val="Heading2"/>
      </w:pPr>
      <w:r>
        <w:t>Erwägungen</w:t>
      </w:r>
    </w:p>
    <w:p>
      <w:r>
        <w:rPr>
          <w:b/>
        </w:rPr>
        <w:t>E. 1.1</w:t>
      </w:r>
    </w:p>
    <w:p>
      <w:r>
        <w:t>L'appel est recevable contre les décisions de première instance sur les mesures provisionnelles (art. 308 al. 1 let. b et al. 2 CPC). Les décisions sur mesures provisionnelles de première instance rendues dans les affaires non patrimoniales sont toujours attaquables par la voie de l'appel (JEANDIN, Code de procédure civile commenté, n. 19 ad art. 309 CPC). Le présent appel, déposé dans la forme (art. 311 CPC) et le délai prévu par la loi (art. 142 al. 3 et 314 al. 1 CPC), est recevable. L'appel peut être formé pour violation du droit et constatation inexacte des faits (art. 310 let. a et b CPC). Des faits et moyens de preuve nouveaux sont admis aux conditions de l'art. 317 CPC (cf. ci-dessous).</w:t>
      </w:r>
    </w:p>
    <w:p>
      <w:r>
        <w:rPr>
          <w:b/>
        </w:rPr>
        <w:t>E. 1.2</w:t>
      </w:r>
    </w:p>
    <w:p>
      <w:r>
        <w:t>Selon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Les pièces nouvellement produites par l'appelant, postérieures à l'ordonnance entreprises, sont recevables.</w:t>
      </w:r>
    </w:p>
    <w:p>
      <w:r>
        <w:rPr>
          <w:b/>
        </w:rPr>
        <w:t>E. 2</w:t>
      </w:r>
    </w:p>
    <w:p>
      <w:r>
        <w:t>2.1. L'appelant soutient que E_______, titulaire d'une signature collective à deux, n'était pas compétent à lui seul pour convoquer une assemblée générale et se substituer au conseil d'administration. La possibilité pour le juger d'ordonner la tenue d'une assemblée générale n'a aucun effet guérisseur sur la voie qui a été mise en œuvre. La société était à l'époque en liquidation, ce qui impliquait la seule compétence de l'administration de la masse pour procéder aux actes y relatifs. D_______ n'était plus détenteur de ses actions au porteur, qui avaient été saisies la veille. L'appelant fait valoir qu'à la suite de l'assemblée contestée, E_______ a obtenu la révocation de la faillite de B_______SA, mandaté un avocat, puis sollicité et obtenu du Tribunal la substitution de parties dans le litige en revendication l'opposant à C_______. E_______ avait aussi obtenu de la Cour de justice, en sa qualité d'Autorité de surveillance, le classement de la plainte de l'appelant, en relation avec la cession des droits de la masse à C_______, devenue sans objet à la suite de la révocation de la faillite. Ces actes étaient susceptibles de lui causer un préjudice difficilement réparable, ce d'autant plus qu'il était en litige avec les autres actionnaires de l'intimée. L'intimée conteste l'argumentation de l'appelant. En particulier, elle soutient que l'appelant s'est opposé à la révocation de la faillite afin de faire prévaloir ses intérêts personnels sur ceux de la société, dans le but de conserver les cent-vingt actions F_______SA. Or, s'il était fait droit aux conclusions de l'appelant, il est peu probable qu'il poursuivrait le procès en revendication que la société lui a intenté afin de statuer sur la propriété de ces actions. 2.2.1.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let. c CO, le tribunal peut ordonner toute mesure provisionnelle propre à prévenir ou à faire cesser le préjudice, notamment donner un ordre à une autorité qui tient un registre.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KOFMEL EHRENZELLER, KuKo-ZPO, 2010, n. 8 zu art. 261; HUBER, Kommentar zur schweizerischen Zivilprozessordnung, 2010, n. 20 zu art. 261).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 préjudice difficile à réparer "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zu art 261 CPC). 2.2.2. 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Un ou plusieurs actionnaires représentant ensemble 10% au moins du capital-actions peuvent aussi requérir la convocation de l'assemblée générale; des actionnaires qui représentent des actions totalisant une valeur nominale de 1 million de francs peuvent requérir l'inscription d'un objet à l'ordre du jour; la convocation et l'inscription d'un objet à l'ordre du jour doivent être requises par écrit en indiquant les objets de discussion et les propositions (al. 3). Si le conseil d'administration ne donne pas suite à cette requête dans un délai convenable, la convocation est ordonnée par le juge, à la demande des requérants (al. 4). Selon l'art. 700 al. 3 CO, aucune décision ne peut être prise sur des objets qui n'ont pas été dûment portés à l'ordre du jour, à l'exception des propositions déposées par un actionnaire dans le but de convoquer une assemblée générale extraordinaire, d'instituer un contrôle spécial ou d'élire un organe de révision. Le conseil d'administration de la société se compose d'un ou de plusieurs membres (art. 707 al. 1 CO).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(PETER/CAVADINI, Commentaire romand, Code des obligations II, 2008, n. 4 et 5 ad art. 699 CO; BÖCKLI, Schweizer Aktienrecht, 2009, p. 1401, no 167). C'est au président de l'assemblée générale, soit en général le président du conseil d'administration qu'il incombe de diriger la réunion et les délibérations (PETER/CAVADINI, op. cit., n. 25 ad art. 702 CO). Selon l'art. 700 al. 1 CO, l'assemblée générale est convoquée selon le mode établi par les statuts, 20 jours au moins avant la date de la réunion. PETER/CAVADINI (op. cit., n. 6 ad art. 700 CO) exposent qu'il est controversé en doctrine de savoir quelle est la conséquence du non-respect du délai légal ou statutaire, la doctrine majoritaire estimant que les décisions sont annulables, tandis que BÖCKLI soutient que si le délai plus court a eu pour effet de supprimer ou de substantiellement limiter la faculté de certains actionnaires de prendre part à l'assemblée générale ou d'affecter concrètement leur possibilité d'exercer leur droit de vote, les décisions de l'assemblée générale considérée sont nulles (BÖCKLI, op. cit., p. 1371, no 89). Selon TANNER, les décisions d'une assemblée générale ne seraient pas annulées dans l'hypothèse où un actionnaire d'une société d'une certaine importance n'aurait pas été atteint par la voie postale (Commentaire zurichois, 2003, n. 17 ad art. 699 CO). Sauf en cas d'assemblée universelle, qui réunit tous les propriétaires ou les représentants de la totalité des actions (art. 701 CO), sont annulables les décisions prises par une assemblée générale qui n'aurait pas été valablement convoquée du point de vue formel (PETER/CAVADINI, op. cit., n. 9 ad art. 700 CO). 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 L'action s'éteint si elle n'est pas exercée au plus tard dans les deux mois qui suivent l'assemblée générale (art. 706a al. 1 CO). 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(PETER/CAVADINI, op. cit., n. 12 ad art. 706b CO). Selon le Tribunal fédéral, il convient de considérer comme nulles les manifestations de volonté des sociétaires (d'une association) qui, pour vices de forme, ne peuvent valoir comme décisions de l'assemblée générale, car, pour être simplement annulable, une décision doit exister comme telle. Ainsi, comme les " actionnaires " ne peuvent exercer leurs droits qu'à l'assemblée générale, des décisions prises par voie de circulation sont nulles, même si elles ont recueilli l'unanimité des " actionnaires " (ATF 71 I 383 = JdT 1946 I 135, consid. 2a; ATF 67 I p. 346 consid. 3 = JdT 1942 I p. 592). De même, on est en présence d'une décision nulle et non seulement annulable quand l'assemblée générale a été convoquée par une personne qui n'avait pas qualité pour le faire d'après la loi et les statuts (ATF 71 I 383 = JdT 1946 I 135, consid. 2a). Le droit de convocation appartenant au comité et non au secrétaire de l'association (art. 64 al. 2 CC), ce dernier ne pouvait y procéder que sur mandat du comité ou ratification de ce dernier par la suite. Le secrétaire ne pouvait pas y procéder contre la volonté du comité, en lieu et place du président de l'association (ATF 71 I 383 = JdT 1946 I 135, consid. 2a) ni se fonder sur l'art. 64 al. 3 CC pour s'arroger le droit de convoquer l'assemblée générale sous prétexte que plus d'un cinquième des membres le demandaient. Une telle demande n'excluait pas la compétence du comité et en cas de refus d'y donner suite, les sociétaires n'auraient pas eu autre chose à faire qu'à s'adresser au juge (ATF 71 I 383 = JdT 1946 I 135, consid. 2a). Dans l'ATF 114 II 193 = SJ 1988 p. 450, le Tribunal fédéral a statué en ce sens que la violation d'une règle de procédure qui n'a pu avoir aucune influence sur la décision prise par l'assemblée générale d'une association n'entraîne pas son annulation en application de l'art. 75 CC. Il convient de préciser qu'il s'agissait de déterminer si le mot " sanction " à prendre à l'encontre d'un membre cité dans l'ordre du jour, au lieu du terme explicite d'" exclusion " dudit membre, conformément à la terminologie imposée par les statuts, était susceptible d'entraîner l'annulation de son exclusion. Une violation minime et purement formelle d'une règle de procédure que l'association s'était imposée dans ses statuts, qui n'avait exercé aucune influence sur la décision prise, ne devait pas avoir cette conséquence.</w:t>
      </w:r>
    </w:p>
    <w:p>
      <w:r>
        <w:rPr>
          <w:b/>
        </w:rPr>
        <w:t>E. 2.3</w:t>
      </w:r>
    </w:p>
    <w:p>
      <w:r>
        <w:t>En l'espèce, l'appelant a rendu vraisemblable qu'il a été évincé du conseil d'administration de l'intimée lors de l'assemblée générale extraordinaire du 19 mai 2011 et que celle-ci n'avait pas été valablement convoquée. En effet, le conseil d'administration de l'intimée se composait de l'appelant, administrateur-président, et de E_______ (art. 707 al. 1 CO), de sorte que ce dernier ne pouvait pas prendre seul l'initiative de convoquer cette assemblée et encore moins taire sa démarche à l'administrateur-président. Il a agi sans mandat de ce dernier ni ratification de son initiative. Il résulte de ce qui précède que l'assemblée générale extraordinaire n'a pas été convoquée par le conseil d'administration, en violation de l'art. 699 al. 1 CO et de l'art. 7 § 2 des statuts de la société, ce qui est constitutif d'une atteinte à l'une de ses compétences intransmissibles et inaliénables (PETER/CAVADINI, op. cit., n. 4 et 5 ad art. 699 CO), de sorte que les décisions prises par cette assemblée générale sont susceptibles d'être nulles, en application de l'art. 706b al. 3 CO, parce qu'elles émanent d'une assemblée qui a négligé les structures de base de la société anonyme (PETER/CAVADINI, op. cit., n. 12 ad art. 706b CO). Le Tribunal fédéral a clairement sanctionné de nullité les décisions prises par une assemblée générale d'association convoquée par un secrétaire qui n'avait pas qualité pour ce faire d'après la loi ou les statuts (ATF 71 I 383 = JdT 1946 I 135, consid. 2a), jurisprudence pouvant s'appliquer par analogie au cas présent. L'administrateur E_______ ne pouvait s'arroger le droit de convoquer l'assemblée générale pour répondre à la demande de 51% de l'actionnariat (98% + 4%), puisqu'en cas de refus du conseil d'administration, les actionnaires devaient s'adresser au juge, selon l'art. 699 al. 4 CO (cf. également, par analogie : ATF 71 I 383 = JdT 1946 I 135, consid. 2a). Or, s'ils avaient emprunté cette voie, la convocation de l'assemblée générale extraordinaire n'aurait pas été mise en œuvre de manière clandestine, mais au su de l'appelant. Enfin, l'exigence de la causalité a été développée par le Tribunal fédéral dans un cas qui concernait une annulation portant sur un vice mineur (ATF 114 II 193 = SJ 1988 p. 450), et non pas sur un vice formel grave, comme en l'occurrence. S'agissant du préjudice difficilement réparable, l'appelant n'a certes pas rendu vraisemblable que la révocation de la faillite de l'intimée, la constitution d'un avocat, la substitution de parties dans le litige en revendication ou le classement de sa plainte étaient susceptibles de lui causer un dommage. Il n'en demeure pas moins qu'il a fait l'objet d'une éviction à la suite d'un coup de force de la part des deux autres actionnaires, avec lesquels il est en litige, et que E_______ n'a jamais eu le pouvoir d'administrer seul l'intimée, de sorte que l'intimée est gérée depuis le 19 mai 2011 par une personne non dûment légitimée pour ce faire, ce qui est susceptible de causer à l'appelant un dommage difficilement réparable, en raison du nombre, de la diversité et de l'importance des décisions qu'il a, en apparence, tout pouvoir de prendre. Le procès en constatation de la nullité des décisions de l'assemblée générale est pendant en première instance, au stade des débats d'instruction. Quand bien même un jugement serait susceptible d'être prochainement rendu, il faudrait compter avec la procédure d'appel, de sorte que les mesures provisionnelles demandées conservent leur nécessité. L'appel est fondé, de sorte que l'ordonnance entreprise est annulée. Il sera en conséquence ordonné au Préposé du Registre du commerce de radier, à titre provisionnel, l'inscription portée le 7 juin 2011 et de réinscrire l'appelant en qualité d'administrateur président avec signature individuelle, ainsi que E_______ en qualité d'administrateur avec signature collective à deux. Dès lors que l'inscription sur le Registre du commerce est publiée intégralement et sans délai dans la Feuille officielle suisse du commerce selon l'art. 931 CO, la publication de cette radiation sera également ordonnée à titre provisionnel, nonobstant l'absence de chef de conclusions de l'appelant dans ce sens.</w:t>
      </w:r>
    </w:p>
    <w:p>
      <w:r>
        <w:rPr>
          <w:b/>
        </w:rPr>
        <w:t>E. 3</w:t>
      </w:r>
    </w:p>
    <w:p>
      <w:r>
        <w:t>3.1. Les frais comprennent : a. les frais judiciaires et b. les dépens (art. 95 al. 1 CPC). Les frais judiciaires comprennent notamment l'émolument forfaitaire de décision (art. 95 al. 2 let. a CPC). Selon l'art. 37 RTFMC (E 1 05.10), l'émolument forfaitaire de décision (appel contre une décision sur mesures provisionnelles) est calculé selon les dispositions applicables aux procédures de première instance. A cet égard, les art. 26 et 37 RTFMC, applicables à la procédure sommaire, précisent que cet émolument est fixé entre 150 fr. et 10'000 fr., respectivement pour la première instance et l'appel. Les dépens comprennent, notamment, le défraiement d'un représentant professionnel (art. 95 al. 3 let. b CPC). Si la contestation porte sur des affaires non pécuniaires, le défraiement est de 600 fr. à 18'000 fr. en fonction de l'importance et de la difficulté de la cause ainsi que selon le travail effectué.</w:t>
      </w:r>
    </w:p>
    <w:p>
      <w:r>
        <w:rPr>
          <w:b/>
        </w:rPr>
        <w:t>E. 3.2</w:t>
      </w:r>
    </w:p>
    <w:p>
      <w:r>
        <w:t>En l'espèce, l'avance de frais a été fixée à 2'700 fr. en première instance et à 1'200 fr. en seconde instance, sur la base des art. 26 et 37 RTFMC. Ces sommes couvrent la totalité des frais judiciaires pour ces deux instances (art. 2 RTFMC) et seront ainsi arrêtés en totalité à 3'900 fr. Ces frais seront compensés avec les avances fournies par l'appelant les 7 juillet (1'500 fr.), 6 septembre 2011 (1'200 fr.) et 30 janvier 2012 (1'200 fr.). L'appel étant fondé, il se justifie de condamner l'intimée à rembourser la somme de 3'900 fr. à l'appelant, ainsi qu'à lui verser une somme pour le défraiement de son conseil fixée à 5'000 fr. pour les deux instances, débours et TVA compris. En revanche, les frais d'exécution à venir de la présente décision ne font pas partie de ceux dont le remboursement peut être déjà ordonné (art. 95 CPC a contrario).</w:t>
      </w:r>
    </w:p>
    <w:p>
      <w:r>
        <w:rPr>
          <w:b/>
        </w:rPr>
        <w:t>E. 4</w:t>
      </w:r>
    </w:p>
    <w:p>
      <w:r>
        <w:t>La présente décision est rendue en matière civile (art. 72 al. 1 LTF) et sur mesures provisionnelles, de sorte que les motifs de recours sont limités (art. 98 LTF). Les conclusions ne tendent pas au paiement d'une somme d'argent, il appartiendra au Tribunal fédéral de fixer la valeur litigieuse selon son appréciation (art. 51 al. 2 LTF). * * * * * PAR CES MOTIFS, La Chambre civile : A la forme : Déclare recevable l'appel interjeté par A_______ contre l'ordonnance OTPI/1542/2011 rendue le 23 décembre 2011 par le Tribunal de première instance dans la cause C/13219/2011-11 SP. Au fond : Annule les chiffres 1 à 4 de l'ordonnance entreprise et statuant à nouveau : Ordonne au Préposé du Registre du commerce de radier et de publier à titre provisionnel l'inscription concernant B_______SA portée au Registre journalier le _______ sous la référence no ______, publiée dans la Feuille d'avis officielle le _______. Ordonne au Préposé du Registre du commerce de réinscrire A_______ en qualité d'administrateur et de Président, au bénéfice d'une signature individuelle, de la société B_______SA et de réinscrire E_______ en qualité d'administrateur avec signature collective à deux. Dit que ces mesures déploieront leurs effets jusqu'à droit jugé ou accord entre les parties dans la cause les opposant sur le fond. Dit que A_______ n'est pas astreint à fournir des sûretés. Déboute les parties de toutes autres conclusions. Sur les frais : Arrête les frais judiciaires de première instance et d'appel à 3'900 fr. Dit qu'ils sont entièrement compensés par les avances de frais opérées à concurrence de ce montant par A_______ les 7 juillet, 6 septembre 2011 et 30 janvier 2012, qui restent acquises à l'Etat. Les met à la charge de B_______SA en totalité. Condamne B_______SA à restituer le montant de 3'900 fr. à A_______. Condamne B_______SA à payer la somme de 5'000 fr. à A_______ à titre de dépens. Siégeant : Monsieur Pierre CURTIN, président; Madame Nathalie LANDRY,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