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C/13129/2014 vom 26. September 2017</w:t>
      </w:r>
    </w:p>
    <w:p>
      <w:r>
        <w:t>GE Cour de justice, 2017-09-26, FR</w:t>
      </w:r>
    </w:p>
    <w:p>
      <w:r>
        <w:rPr>
          <w:b/>
        </w:rPr>
        <w:t xml:space="preserve">Quelle: </w:t>
      </w:r>
      <w:r>
        <w:t>https://mcp.opencaselaw.ch/entscheid/ge_gerichte_C_13129_2014</w:t>
      </w:r>
    </w:p>
    <w:p>
      <w:r>
        <w:t>FR: GE_GERICHTE C/13129/2014 du 26 septembre 2017</w:t>
      </w:r>
    </w:p>
    <w:p>
      <w:r>
        <w:t>IT: GE_GERICHTE C/13129/2014 del 26 settembre 2017</w:t>
      </w:r>
    </w:p>
    <w:p>
      <w:pPr>
        <w:pStyle w:val="Heading2"/>
      </w:pPr>
      <w:r>
        <w:t>Regeste</w:t>
      </w:r>
    </w:p>
    <w:p>
      <w:r>
        <w:t>MESURE PROVISIONNELLE ; PARTAGE SUCCESSORAL ; SUBROGATION | CPC.262;</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En l'espèce, la valeur litigieuse de 230'000 fr. correspond au prix de vente des actions (230'000 fr.), de sorte que la voie de l'appel est ouverte.</w:t>
      </w:r>
    </w:p>
    <w:p>
      <w:r>
        <w:rPr>
          <w:b/>
        </w:rPr>
        <w:t>E. 1.2</w:t>
      </w:r>
    </w:p>
    <w:p>
      <w:r>
        <w:t>Déposé dans le délai de 10 jours à compter de la notification de l'ordonnance rendue par voie de procédure sommaire, l'appel est recevable (art. 248 let. a, 311 al. 1 et 314 al. 1 CPC).</w:t>
      </w:r>
    </w:p>
    <w:p>
      <w:r>
        <w:rPr>
          <w:b/>
        </w:rPr>
        <w:t>E. 1.3</w:t>
      </w:r>
    </w:p>
    <w:p>
      <w:r>
        <w:t>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rPr>
          <w:b/>
        </w:rPr>
        <w:t>E. 2</w:t>
      </w:r>
    </w:p>
    <w:p>
      <w:r>
        <w:t>L'intimé produit une pièce nouvelle à l'appui de sa duplique. Selon l'art. 317 al. 1 CPC, un moyen de preuve nouveau n'est pris en compte au stade de l'appel que s'il est produit sans retard (let. a) et qu'il ne pouvait l'être devant la première instance bien que la partie qui s'en prévaut ait fait preuve de la diligence requise (let. b). Le mémoire de réponse de l'intimé du 24 avril 2017 étant postérieur à la date à laquelle le Tribunal a gardé la cause à juger, il est recevable, sans préjudice de sa pertinence.</w:t>
      </w:r>
    </w:p>
    <w:p>
      <w:r>
        <w:rPr>
          <w:b/>
        </w:rPr>
        <w:t>E. 3</w:t>
      </w:r>
    </w:p>
    <w:p>
      <w:r>
        <w:t>L'appelant fait grief au Tribunal d'avoir considéré que la mesure sollicitée constituait un séquestre déguisé. 3.1.1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(ATF 139 III 86 consid. 4.2; arrêt du Tribunal fédéral 5A_84/2016 du 5 septembre 2016 consid. 4.1 et les références citées). Selon l'art. 262 CPC, le Tribunal peut ordonner toute mesure provisionnelle propre à prévenir ou à faire cesser le préjudice, notamment les mesures suivantes : l'interdiction (let. a), l'ordre de cessation d'un état de fait illicite (let. b), l'ordre donné à une autorité qui tient un registre ou à un tiers (let. c), la fourniture d'une prestation en nature (let. d) ou le versement d'une prestation en argent, lorsque la loi le prévoit (let. e). Une telle base légale existe en matière de demande d'aliments liée à une demande en paternité (art. 303 al. 2 CPC), en matière de dette alimentaire (art. 329 CC), d'avis au débiteurs dans le cadre du droit de la famille (art. 132 al. 1 et 291 CC) ou de responsabilité civile en matière nucléaire (art. 28 LRCN; Sprecher, Basler Kommentar, 2 ème éd., 2013, n. 28 ad art. 262 CPC; Huber, Kommentar zur Schweizerischen Zivilprozessordnung (ZPO), 2 ème éd., 2013, n. 22 ad art. 262 CPC; Güngerich, Berner Kommentar, Schweizerische Zivilprozessordnung, 2012, n. 43 ss, ad art. 262 CPC; ACJC/1479/2015 du 4 décembre 2015 consid. 3.1). Selon l'art. 268 al. 1 CPC, les mesures provisionnelles peuvent être modifiées ou révoquées, s'il s'avère par la suite qu'elles sont injustifiées ou que les circonstances se sont modifiées. 3.1.2 L'art. 269 CPC réserve diverses dispositions d'autres lois en matière de mesures provisionnelles. La LP constitue l'exception principale. Ainsi, la garantie provisoire de dettes d'argent est réglée par les art. 271 ss LP relatifs au séquestre et il ne peut être prononcé de mesures provisionnelles pour protéger les créances pécuniaires à titre provisoire (ATF 86 II 291 consid. 2; 108 II 180 consid. 2; arrêts du Tribunal fédéral 5D_54/2008 du 23 juin 2008 consid. 2.3 et 5A_853/2013 du 23 mai 2014 consid. 2.2.3 et 3.3). Le champ d'application des mesures provisionnelles conservatoires est donc en principe limité à la protection des droits réels ou personnels dont la nature n'est pas pécuniaire (arrêts du Tribunal fédéral 5A_853/2013 du 23 mai 2014 consid. 2.2.3 et 3.3 et 5A_852/2010 du 28 mars 2011 consid. 3.1; Hohl, Procédure civile, tome II, 2010, n. 1747 s.). 3.1.3 Chaque héritier a le droit de demander en tout temps le partage de la succession, à moins qu'il ne soit conventionnellement ou légalement tenu de demeurer dans l'indivision (art. 604 CC). Le partage peut être rescindé pour les mêmes causes que les autres contrats (art. 638 CC). L'action en pétition d'hérédité appartient à quiconque se croit autorisé à faire valoir, comme héritier légal ou institué sur une succession ou sur des biens qui en dépendent, des droits préférables à ceux du possesseur (art. 598 CC). L'action en pétition d'hérédité se prescrit contre le possesseur de bonne foi par un an à compter du jour où le demandeur a eu connaissance de son droit préférentiel et de la possession du défendeur; en tout cas, par dix ans, qui courent dès le décès ou l'ouverture du testament. Elle ne se prescrit que par trente ans contre le possesseur de mauvaise foi (art. 600 CC). 3.1.4 Les moyens à disposition des héritiers pour garantir la préservation de la succession sont des actions spécifiques du droit des successions, soit les mesures gracieuses, et des actions provisionnelles du CPC, soit les mesures contentieuses. Les mesures gracieuses font l’objet du titre seizième du Code civil concernant les mesures de sûretés, art. 551–559 CC, et visent à assurer la conservation, la gestion et la dévolution des biens successoraux. Elles relèvent de la juridiction gracieuse, mais sont de nature patrimoniale (Eigenmann, Renseignements et sauvegarde d'urgence des droits successoraux, in Revue de l'avocat, 2016, p. 417 et ss). Ces mesures sont notamment, dans les cas prévus par la loi, l'apposition de scellés, l'inventaire, l'administration d'office et l'ouverture des testaments (art. 551 al. 2 CC). Elles sont expressément réservées par l'art. 269 let. b CPC. Outre les mesures de sûretés de la juridiction gracieuse, les intéressés peuvent agir par le biais de mesures provisionnelles et superprovisionnelles. Ces dernières ont dans ce cadre le même objectif de préservation des actifs, mais se limitent en général à certains biens spécifiquement mentionnés, alors que les mesures de sûretés du droit successoral concernent généralement l’ensemble de la succession. Dans les litiges successoraux, les mesures provisionnelles sont en pratique principalement fondées sur l’action en nullité, en réduction, en partage, ou encore sur l’action en pétition d’hérédité (Eigenmann, op. cit., p. 422). Peuvent par exemple être requis : l'annotation au registre foncier d'une restriction du droit d'aliéner, l'établissement d'un inventaire, une consignation, la remise à une autorité, l'administration d'office d'une succession, l'interdiction d'aliéner sous la menace de la peine d'amende de l'art. 292 CP, etc. (Thevenaz, Commentaire romand, CC II, 2016, n. 24 ad art. 598 CC). 3.1.5 La subrogation réelle peut revêtir deux formes (arrêt du Tribunal fédéral 5A_88/2011 du 23 septembre 2011, consid. 6.1 et 6.2 et les références citées) : La première est celle de la subrogation réelle proprement dite ou au sens strict, c'est-à-dire le remplacement d'une chose par une autre comme objet de droit réel déterminé. Elle est ainsi un mode particulier d'acquisition d'un droit réel sur la chose de remplacement, en ce sens que, en dérogation aux règles ordinaires sur l'acquisition du droit réel, la loi prévoit qu'un droit déterminé est acquis du simple fait que le bien de remplacement prend la place du bien détruit ou aliéné. Cette dérogation aux règles générales ne doit être admise que dans les cas prévus par la loi. La seconde forme est celle de la subrogation réelle au sens large ou subrogation patrimoniale, c'est-à-dire le remplacement d'une chose par une autre dans un patrimoine: le bien acquis, selon les règles ordinaires, prend dans le patrimoine la place du bien aliéné. La subrogation patrimoniale n'est donc pas un mode particulier d'acquisition d'un bien, mais un mode de répartition des biens acquis entre les divers patrimoines séparés de l'acquéreur. Elle présuppose donc que l'acquéreur d'un bien soit titulaire de plusieurs patrimoines. La subrogation patrimoniale, comme la subrogation réelle stricto sensu , a lieu de plein droit, indépendamment de la volonté juridique de l'acquéreur, chaque fois que l'acquisition est en relation adéquate avec la diminution ou non-augmentation du patrimoine en cause. Sans cela, le but même de la subrogation patrimoniale, à savoir le maintien de la substance des patrimoines spéciaux, serait compromis, puisqu'il dépendrait de la volonté d'un des intéressés de sauvegarder les intérêts de l'autre ou des autres. Au décès du de cujus , ses droits et obligations passent à ses héritiers qui forment une communauté prenant fin par le partage (art. 602 al. 1 CC). La communauté héréditaire s'étend à l'ensemble des biens extants du de cujus . Ces biens forment le patrimoine commun des héritiers qui est distinct des biens dont chacun d'eux est propriétaire à titre personnel. Les héritiers profitent ensemble des accroissements de ce patrimoine, de même qu'ils supportent ensemble ses réductions. Ils deviennent propriétaires communs des biens acquis en remploi de biens successoraux, conformément aux règles ordinaires sur l'acquisition des choses et des droits. Si les héritiers remplacent un bien faisant partie de la succession par un autre bien qu'ils acquièrent pour la communauté, il y a ainsi subrogation patrimoniale dans les biens de la succession. L'opération suppose que les hoirs disposent d'un bien à remplacer et d'autres valeurs tirées des biens successoraux pour acquérir un bien de remplacement ou quelque nouveau bien et que ce soit la communauté qui devienne titulaire du nouveau droit acquis. Le remploi exige ainsi la coopération des héritiers selon les règles relatives à l'administration des biens de la communauté héréditaire; or, ils ne sont habilités à disposer qu'en commun (art. 602 al. 2 CC). En conséquence, si un des cohéritiers non habilité à représenter l'hoirie aliène un bien de la succession, le mécanisme de la subrogation patrimoniale n'opère pas, à moins qu'il n'ait agi pour le compte de la communauté et que tous ses membres aient ratifié l'aliénation et l'acquisition. Si le cohéritier a acquis un bien pour son propre compte avec les moyens de la communauté, il en demeure propriétaire et ses cohéritiers peuvent faire valoir une prétention en dommages-intérêts à son encontre (Spahr, Valeur et valorisme en matière de liquidations, 1994, p. 107). Ainsi, si les héritiers ne peuvent pas revendiquer les objets dont l'héritier a disposé seul sans y être autorisé, ce dernier est tenu envers les autres héritiers à la réparation du dommage (Weibel, in PraxKomm Erbrecht, 2011, n. 31 ad art. 602). Ni les dispositions sur la communauté héréditaire, ni celles relatives à la propriété commune n'instituent un chef de responsabilité objective à l'encontre de l'héritier, respectivement du propriétaire communiste, pour le dommage causé par un acte de disposition sur un bien de la communauté entrepris en violation de la règle de l'unanimité. Les règles sur l'enrichissement illégitime sont applicables ( ACJC/1803/2012 du 14 décembre 2012, consid. 6.2 et 7.2). 3.1.6 Celui qui de bonne foi, à titre de propriétaire, paisiblement et sans interruption, a possédé pendant cinq ans la chose d'autrui en devient propriétaire par prescription (art. 728 CC).</w:t>
      </w:r>
    </w:p>
    <w:p>
      <w:r>
        <w:rPr>
          <w:b/>
        </w:rPr>
        <w:t>E. 3.2</w:t>
      </w:r>
    </w:p>
    <w:p>
      <w:r>
        <w:t>En l'espèce, il est acquis que l'intimé a vendu les actions de la société F______, qu'il avait héritées de son père, depuis le prononcé de l'ordonnance provisionnelle lui faisant interdiction de les aliéner. L'appelant ne prétend pas que les mesures sollicitées relèveraient de la juridiction gracieuse, et il ne paraît pas vraisemblable que ce soit le cas. Le Tribunal était donc compétent pour statuer sur la requête.</w:t>
      </w:r>
    </w:p>
    <w:p>
      <w:r>
        <w:rPr>
          <w:b/>
        </w:rPr>
        <w:t>E. 3.2.1</w:t>
      </w:r>
    </w:p>
    <w:p>
      <w:r>
        <w:t>Alors que la requête du 2 juillet 2014 était dirigée par l'appelant contre l'intimé et sa mère, celle du 7 décembre 2016 ne l'est que contre le premier (la précitée étant entre-temps décédée). L'objet et les conclusions des deux requêtes diffèrent également. Dès lors, il se justifie d'examiner à nouveau si toutes les conditions posées par les art. 261 et ss CPC sont réalisées, ce qu'a d'ailleurs fait le premier juge, la question de savoir s'il s'agit d'une nouvelle requête ou d'une demande de modification au sens de l'art. 268 CPC pouvant demeurer indécise.</w:t>
      </w:r>
    </w:p>
    <w:p>
      <w:r>
        <w:rPr>
          <w:b/>
        </w:rPr>
        <w:t>E. 3.2.2</w:t>
      </w:r>
    </w:p>
    <w:p>
      <w:r>
        <w:t>Au moment de l'aliénation litigieuse, le partage de la succession de feu C______ était terminé, de sorte que les actions n'étaient plus dans le patrimoine de l'hoirie, mais dans celui personnel de l'intimé. Même s'il fallait admettre que les actions faisaient partie du patrimoine de l'hoirie, au motif de la nullité du partage telle qu'invoquée par l'appelant, la Cour retient, au stade de la vraisemblance, que l'intimé les a aliénées à titre de seul propriétaire, peu importe que son droit ait été valable ou non. En aucun cas il ne les a vendues pour le compte de l'hoirie ni en commun avec des membres de celle-ci, étant précisé qu'il n'avait pas obtenu l'accord de l'appelant. Il n'y a donc pas eu de subrogation patrimoniale, de sorte que le prix de vente des actions n'est pas tombé de plein droit dans la masse successorale. Une action en partage ou des mesures provisionnelles sont dès lors plus possibles sur ce prix de vente. L'appelant dispose tout au plus d'une créance en enrichissement illégitime contre l'intimé, dont la garantie ne peut faire l'objet de mesures provisionnelles, seule la voie du séquestre étant ouverte pour ce faire. L'intimé soutient que le prix de vente dont la consignation est sollicitée a été mélangé à ses propres deniers, et n'est plus déposé sur un compte particulier, comme déclaré à la police le 5 août 2016. Une action en partage sur ledit montant paraît dès lors exclue pour cette raison également. Enfin, la possibilité d'intenter une action en partage, alors que les biens ont été répartis il y a plus de trente ans entre les héritiers alors connus est douteuse, notamment au regard des règles sur la prescription acquisitive.</w:t>
      </w:r>
    </w:p>
    <w:p>
      <w:r>
        <w:rPr>
          <w:b/>
        </w:rPr>
        <w:t>E. 3.2.3</w:t>
      </w:r>
    </w:p>
    <w:p>
      <w:r>
        <w:t>Il est vraisemblable qu'une action en pétition d'hérédité est prescrite, C______ étant décédé il y a plus de trente ans. Aucune mesure provisionnelle ne peut dès lors être requise sur cette base non plus.</w:t>
      </w:r>
    </w:p>
    <w:p>
      <w:r>
        <w:rPr>
          <w:b/>
        </w:rPr>
        <w:t>E. 3.2.4</w:t>
      </w:r>
    </w:p>
    <w:p>
      <w:r>
        <w:t>En conclusion, que l'action au fond intentée par l'appelant soit une action en partage ou une action en pétition d'hérédité, les mesures provisionnelles sollicitées doivent être rejetées, soit parce qu'elles s'apparentent à un séquestre soit parce que l'appelant n'a pas rendu vraisemblable qu'il était titulaire d'une prétention fondée. L'ordonnance querellée sera en conséquence confirmée.</w:t>
      </w:r>
    </w:p>
    <w:p>
      <w:r>
        <w:rPr>
          <w:b/>
        </w:rPr>
        <w:t>E. 4</w:t>
      </w:r>
    </w:p>
    <w:p>
      <w:r>
        <w:t>L'appelant, qui succombe, sera condamné aux frais de l'appel (art. 106 al. 1 CPC), arrêtés à 1'200 fr. (art. 26, 35 et 37 du règlement fixant le tarif des frais en matière civile du 22 décembre 2010 (RTFMC - E 1 05.10), lesquels seront provisoirement supportés par l'Etat, l'appelant plaidant au bénéfice de l'assistance judiciaire (art. 122 al. 1 let. b et 123 CPC). Il sera condamné à verser à l'intimé la somme de 2'500 fr., débours et TVA compris, à titre de dépens d'appel (art. 96 CPC, art. 84, 85, 88, 90 RTFMC). * * * * * PAR CES MOTIFS, La Chambre civile : A la forme : Déclare recevable l'appel interjeté le 6 mars 2017 par A______ contre le chiffre 3 de l'ordonnance OTPI/80/2017 rendue le 21 février 2017 par le Tribunal de première instance dans la cause C/13129/2014-19 SP. Au fond : Confirme cette ordonnance. Déboute les parties de toutes autres conclusions. Sur les frais : Arrête les frais judiciaires d'appel à 1'200 fr., les met à la charge de A______, et dit qu'ils sont provisoirement supportés par l'Etat de Genève. Condamne A______ à verser à B______ la somme de 2'500 fr. à titre de dépens d'appel. Siégeant : Madame Pauline ERARD, présidente; Madame Sylvie DROIN et Madame Nathalie LANDRY-BARTHE, juges; Monsieur David VAZQUEZ, commis-greffier. La présidente : Pauline ERARD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aux conditions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