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C/12848/2015 vom 13. Juli 2016</w:t>
      </w:r>
    </w:p>
    <w:p>
      <w:r>
        <w:t>GE Cour de justice, 2016-07-13, FR</w:t>
      </w:r>
    </w:p>
    <w:p>
      <w:r>
        <w:rPr>
          <w:b/>
        </w:rPr>
        <w:t xml:space="preserve">Quelle: </w:t>
      </w:r>
      <w:r>
        <w:t>https://mcp.opencaselaw.ch/entscheid/ge_gerichte_C_12848_2015</w:t>
      </w:r>
    </w:p>
    <w:p>
      <w:r>
        <w:t>FR: GE_GERICHTE C/12848/2015 du 13 juillet 2016</w:t>
      </w:r>
    </w:p>
    <w:p>
      <w:r>
        <w:t>IT: GE_GERICHTE C/12848/2015 del 13 luglio 2016</w:t>
      </w:r>
    </w:p>
    <w:p>
      <w:pPr>
        <w:pStyle w:val="Heading2"/>
      </w:pPr>
      <w:r>
        <w:t>Regeste</w:t>
      </w:r>
    </w:p>
    <w:p>
      <w:r>
        <w:t>PROTECTION DE L'UNION CONJUGALE; ENFANT; GARDE ALTERNÉE; RELATIONS PERSONNELLES; CURATELLE; OBLIGATION D'ENTRETIEN; DÉBUT | CC.176.3; CC.273.1; CC.285.1; CC.308.1; CC.173.3</w:t>
      </w:r>
    </w:p>
    <w:p>
      <w:pPr>
        <w:pStyle w:val="Heading2"/>
      </w:pPr>
      <w:r>
        <w:t>Erwägungen</w:t>
      </w:r>
    </w:p>
    <w:p>
      <w:r>
        <w:rPr>
          <w:b/>
        </w:rPr>
        <w:t>E. 1.1</w:t>
      </w:r>
    </w:p>
    <w:p>
      <w:r>
        <w:t>Interjetés dans le délai utile de dix jours (art. 271 let. a et 314 al. 1 CPC), suivant la forme prescrite par la loi (art. 130, 131, 311 al. 1 CPC), à l'encontre d'une décision rendue sur mesures provisionnelles au sens de l'art. 308 al. 1 let. b CPC (ATF 137 III 475 consid. 4.1) et statuant sur une affaire dans son ensemble non pécuniaire, puisque portant notamment sur les droits parentaux (arrêt du Tribunal fédéral 5A_765/2012 du 19 février 2013), les appels émanant des deux parties sont recevables. Dirigés contre le même jugement et comportant des liens étroits, il se justifie de les joindre et de les traiter dans un seul arrêt.![endif]&gt;![if&gt; Par simplification et pour respecter le rôle initial des parties, l'épouse sera désignée en qualité d'appelante et l'époux en qualité d'intimé.</w:t>
      </w:r>
    </w:p>
    <w:p>
      <w:r>
        <w:rPr>
          <w:b/>
        </w:rPr>
        <w:t>E. 1.2</w:t>
      </w:r>
    </w:p>
    <w:p>
      <w:r>
        <w:t>La Cour revoit la cause avec un plein pouvoir d'examen (art. 310 CPC). 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![endif]&gt;![if&gt;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2.2</w:t>
      </w:r>
    </w:p>
    <w:p>
      <w:r>
        <w:t>En l'espèce, les parties ont produit devant la Cour de nombreuses pièces non soumises au Tribunal. Celles-ci ont trait soit à la règlementation des droits parentaux, soit à l'entretien dû aux enfants C______ et D______, tous deux encore mineurs. Conformément aux principes rappelés ci-dessus, ces pièces et les éléments de fait qu'elles comportent sont donc recevables, ce qui n'est pas contesté.</w:t>
      </w:r>
    </w:p>
    <w:p>
      <w:r>
        <w:rPr>
          <w:b/>
        </w:rPr>
        <w:t>E. 3</w:t>
      </w:r>
    </w:p>
    <w:p>
      <w:r>
        <w:t>L'intimé reproche tout d'abord au premier juge de ne pas avoir instauré une garde alternée des enfants C______ et D______. Il soutient disposer de compétences parentales et de disponibilités au moins équivalentes à celles de l'appelante, voire supérieures, et indique qu'une garde alternée serait conforme tant à l'intérêt qu'aux souhaits des enfants.![endif]&gt;![if&gt;</w:t>
      </w:r>
    </w:p>
    <w:p>
      <w:r>
        <w:rPr>
          <w:b/>
        </w:rPr>
        <w:t>E. 3.1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117 II 353 consid. 3 in JdT 1994 I 183; arrêts du Tribunal fédéral 5A_46/2015 du 26 mai 2015 consid. 4.4.2; 5A_105/2014 du 6 juin 2014 consid. 4.2.1). La garde alternée est la situation dans laquelle les parents exercent en commun l'autorité parentale, mais se partagent la garde de l'enfant de manière alternée pour des périodes plus ou moins égales (arrêts du Tribunal fédéral 5A_345/2014 du</w:t>
      </w:r>
    </w:p>
    <w:p>
      <w:r>
        <w:rPr>
          <w:b/>
        </w:rPr>
        <w:t>E. 3.2</w:t>
      </w:r>
    </w:p>
    <w:p>
      <w:r>
        <w:t>En l'espèce, les enfants C______ et D______ vivent principalement auprès de leur mère depuis la séparation effective des parties. Dans son rapport daté du 12 octobre 2015, le SPMi a relevé que l'attribution de la garde des enfants à l'appelante au moment de la crise conjugale avait contribué à leur stabilité et avait permis de leur assurer un cadre sécurisant au domicile familial. Si cette crise apparaît pour l'heure essentiellement surmontée, le Tribunal a considéré avec raison qu'il n'y avait pas lieu de s'écarter de l'avis du SPMi, encore récent, selon lequel l'éventuelle instauration d'une garde alternée était pour l'heure prématurée. Les compétences parentales de l'intimé et sa disponibilité sont certes adéquates et ne paraissent pas inférieures à celles de l'appelante, qui travaille comme lui à plein temps et recourt aux services d'une tierce personne pour l'assister dans sa prise en charge quotidienne des enfants; le besoin de stabilité des enfants et le maintien de leur équilibre, également relevés par le SPMi, commandent cependant de maintenir cette situation afin d'éviter à ceux-ci un nouveau changement de prise en charge, et ce nonobstant la proximité des domiciles parentaux. L'opposition de l'appelante à l'instauration d'une garde alternée, les difficultés rencontrées par les parties et les désaccords subsistant entre celles-ci, notamment dans l'organisation du droit de visite dont elles ont elles-mêmes convenu, rendent vraisemblable que l'exercice d'une garde partagée contre le gré de l'appelante engendrerait des difficultés supplémentaires, voire de nouvelles tensions, susceptibles de nuire au bien-être des enfants. Contrairement à ce que soutient l'intimé, il importe peu que les difficultés actuelles soient en tout ou partie imputables à l'appelante elle-même. Conformément aux principes rappelés ci-dessus, l'intérêt des enfants est prépondérant et il apparaît que cet intérêt nécessite aujourd'hui que leur garde soit confiée à la seule personne de l'appelante. Par conséquent, l'appelant sera débouté de ses conclusions tendant à l'instauration d'une garde alternée et le chiffre 3 du dispositif du jugement entrepris sera confirmé.</w:t>
      </w:r>
    </w:p>
    <w:p>
      <w:r>
        <w:rPr>
          <w:b/>
        </w:rPr>
        <w:t>E. 4</w:t>
      </w:r>
    </w:p>
    <w:p>
      <w:r>
        <w:t>A titre subsidiaire, l'intimé sollicite l'octroi d'un droit de visite plus étendu que celui fixé par le premier juge. Il conteste également la nécessité d'instaurer une curatelle de surveillance des relations personnelles. ![endif]&gt;![if&gt; 4.1.1 En vertu de l'art. 273 al. 1 CC, auquel renvoie l'art. 176 al. 3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arrêt du Tribunal fédéral 5A_173/2014 du 6 juin 2014 consid. 3.3). Le droit aux relations personnelles est conçu à la fois comme un droit et un devoir des parents, mais aussi comme un droit de la personnalité de l'enfant. Le droit de visite doit servir en premier lieu l'intérêt de l'enfant (ATF 131 II 209 consid 5, 127 III 295 consid. 4a). 4.1.2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5A_670/2013 du 8 janvier 2014 consid. 4.1). Le principe de la proportionnalité est la pierre angulaire du système de protection civile de l'enfant, la mesure ordonnée devant notamment être apte à atteindre le but de protection visé et nécessaire à cette fin. L'autorité qui ordonne une mesure de protection de l'enfant dispose à cet égard d'un large pouvoir d'appréciation (art. 4 CC). Le choix de la mesure nécessite en effet une part importante d'anticipation et de pronostic quant à l'évolution des circonstances déterminantes; il dépendra de toutes les circonstances concrètes du cas, non seulement sous l'angle juridique, mais aussi en fonction des aspects sociaux, médicaux et éducatifs de la situation et de la constellation familiale (arrêt du Tribunal fédéral 5A_840/2010 du 31 mai 2011 consid. 3.1.2 et les références citées).</w:t>
      </w:r>
    </w:p>
    <w:p>
      <w:r>
        <w:rPr>
          <w:b/>
        </w:rPr>
        <w:t>E. 4.2</w:t>
      </w:r>
    </w:p>
    <w:p>
      <w:r>
        <w:t>En l'espèce, l'intimé sollicite qu'un droit de visite s'exerçant une semaine sur deux, du mardi soir au lundi matin, puis du mardi soir au mercredi matin la semaine en alternance, ainsi que la moitié des vacances scolaires, lui soit réservé. Avec l'appelante, la Cour constate qu'un tel droit de visite équivaut de facto , de par sa durée, à une garde alternée, dont l'instauration a été refusée pour les motifs indiqués sous consid. 3.2 ci-dessus. Pour cette raison déjà, il n'y a pas lieu d'accorder à l'intimé le droit de visite qu'il sollicite. L'intimé n'indique par ailleurs pas en quoi le droit de visite fixé par le Tribunal, s'exerçant à raison d'un week-end sur deux, du vendredi à la sortie de l'école au lundi matin à l'école, de tous les mercredis soir aux jeudis matin et de la moitié des vacances scolaires, serait inadéquat ou incompatible avec l'intérêt des enfants C______ et D______. Un tel droit de visite correspond aux recommandations du SPMi, sous réserve de la nuit par semaine décalée du mardi au mercredi à la demande de l'appelante; il permet à l'intimé d'entretenir des relations personnelles régulières avec ses enfants. Les allégations de l'intimé selon lesquelles il s'agirait d'un droit de visite "minimum" confinent à la témérité et ne suffisent pas à mettre en évidence une quelconque insuffisance des relations personnelles ainsi définies, au regard de l'intérêt des enfants. Par conséquent, le jugement entrepris sera confirmé s'agissant du droit de visite réservé à l'intimé. En ce qui concerne l'instauration d'une curatelle de surveillance des relations personnelles, dont l'intimé conteste le bien-fondé, le SPMi a certes indiqué, dans son rapport du 15 octobre 2015, qu'une telle mesure ne paraissait pas nécessaire, compte tenu de l'accord des parties sur l'instauration d'un droit de visite et de l'absence de risques de violences de l'intimé à l'endroit des enfants. Il apparaît cependant aujourd'hui que l'exercice dudit droit de visite donne encore lieu à des désaccords entre les parties, notamment lors d'échéances importantes, lesquels nécessitent d'intenses échanges écrits avant d'être surmontés. Dans ces conditions, le Tribunal n'a pas erré en considérant que l'instauration d'une curatelle de surveillance des relations personnelles était en l'espèce adéquate. La capacité des parties à surmonter leurs désaccords est cependant établie et les difficultés rencontrées par celles-ci sont appelées à diminuer dans le temps, notamment à l'issue de la présente procédure, dont les effets sont de surcroît par essence limités dans le temps. Par conséquent, la mesure de curatelle peut et doit en l'espèce être limitée dans sa durée, laquelle sera fixée à une année à compter du prononcé du présent arrêt. Une telle durée apparaît à la fois suffisante et nécessaire pour consolider le bon déroulement des relations personnelles, dans l'intérêt bien compris des enfants C______ et D______. S'il devait en être autrement, il appartiendra au juge du divorce de réévaluer la nécessité d'une telle mesure. Le chiffre 5 du dispositif du jugement entrepris sera donc modifié en ce sens que la durée de la curatelle d'organisation et de surveillance des relations personnelles ordonnée par le Tribunal sera limitée à un an dès le prononcé du présent arrêt.</w:t>
      </w:r>
    </w:p>
    <w:p>
      <w:r>
        <w:rPr>
          <w:b/>
        </w:rPr>
        <w:t>E. 5</w:t>
      </w:r>
    </w:p>
    <w:p>
      <w:r>
        <w:t>Les deux parties contestent ensuite le montant des contributions à l'entretien des enfants mises à la charge de l'intimé. Elles contestent tant le montant des revenus pris en compte par le Tribunal que celui des charges retenues par celui-ci.![endif]&gt;![if&gt; 5.1.1 Dans le cadre de mesures protectrices de l'union conjugale, la contribution due à l'entretien d'un enfant est prévue par l'art. 176 al. 3 CC, lequel renvoie aux art. 276 ss CC (arrêt du Tribunal fédéral 5A_906/2012 du 18 avril 2013 consid. 6.1.1).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Les différents critères prévus par cette disposition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ATF 134 III 577 consid. 4; ATF 128 III 411 consid. 3.2.2; arrêts du Tribunal fédéral 5A_61/2015 du 20 mai 2015 consid. 3.2.1.1; 5A_892/2013 du 29 juillet 2014 consid. 4.4.3; 5A_100/2012 du 30 août 2012 consid. 6.1).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5A_61/2015 cité consid. 3.2.1.1). 5.1.2 L'obligation d'entretien trouve sa limite dans la capacité contributive du débirentier, en ce sens que le minimum vital de celui-ci doit être préservé (ATF 135 III 66 consid. 2, 123 III 1 consid. 3b/bb et consid. 5 in fine; arrêt du Tribunal fédéral 5A_182/2012 du 24 septembre 2012 consid. 5.1). Lorsque la situation financière des parties le permet, il est également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77, p. 90). Seules les charges effectives, dont le débirentier s'acquitte réellement, doivent être prises en compte (ATF 126 III 89 consid. 3b; 121 III 20 consid. 3a et les arrêts cités; arrêt du Tribunal fédéral 5A_396/2013 du 26 février 2014 consid 6.2.1). Il est nécessaire de répartir entre le parent gardien et les enfants le coût du logement (arrêt du Tribunal fédéral 5A_533/2010 du 24 novembre 2010 consid. 2.1). Pour ce faire, il est possible de prendre en considération le 20% du loyer raisonnable à la charge d'un seul enfant et le 30% de ce loyer à la charge de deux enfants (Bastons Bulletti, L'entretien après le divorce : Méthodes de calcul, montant, durée et limites, in SJ 2007 II 77, p. 102 note n. 140).</w:t>
      </w:r>
    </w:p>
    <w:p>
      <w:r>
        <w:rPr>
          <w:b/>
        </w:rPr>
        <w:t>E. 5.2</w:t>
      </w:r>
    </w:p>
    <w:p>
      <w:r>
        <w:t>En l'espèce, l'appelante reproche au Tribunal d'avoir apprécié sa situation au regard des règles sur le minimum vital, après avoir correctement constaté que la situation financière des parties leur permettait de maintenir leur train de vie antérieur. L'appelante ne sollicite cependant pas de contribution à son propre entretien et se fonde, pour étayer ses prétentions à l'entretien des enfants, sur la différence entre les revenus des parties et des charges qu'elle présente elle-même comme incompressibles. L'intimé en fait de même pour s'opposer aux prétentions de l'appelante et conclure à la réduction des montants alloués par le Tribunal. Dans ces conditions, la Cour considère qu'il n'y a pas lieu de se fonder sur le train de vie effectif des parties, mais sur les montants excédant leurs minima vitaux élargis, pour fixer les contributions d'entretien litigieuses. Ceci s'impose d'autant plus qu'en dépit de revenus relativement élevés, les époux ne réalisaient apparemment pas d'économies durant la vie commune et que la constitution de ménages séparés entraine nécessairement des dépenses supplémentaires. Il convient donc d'examiner les revenus et les charges admissibles des parties, ainsi que les besoins des enfants.</w:t>
      </w:r>
    </w:p>
    <w:p>
      <w:r>
        <w:rPr>
          <w:b/>
        </w:rPr>
        <w:t>E. 5.2.1</w:t>
      </w:r>
    </w:p>
    <w:p>
      <w:r>
        <w:t>Le salaire brut de l'appelante, qui exerce une activité lucrative à plein temps, s'élève à 160'000 fr. par an. Compte tenu de la régularité avec laquelle un bonus lui est versé, il convient d'ajouter à ce salaire le montant dudit bonus, soit 22'000 fr. brut par an au moins, ce qui porte les revenus de l'appelante à 182'000 fr. brut par an. Il n'est pas contesté que cette dernière somme corresponde à un revenu de 160'381 fr. net par an, soit 13'365 fr. net par mois. L'appelante reproche au Tribunal d'avoir encore ajouté à ce revenu la somme de 700 fr. par mois versée par son employeur à titre de frais de représentation. Les pièces produites par l'appelante indiquent cependant que cette somme lui est versée en sus de son salaire et indépendamment de tout bonus. C'est donc à juste titre que le Tribunal a inclus cette somme aux revenus de l'appelante, pour en porter le total à 14'065 fr. net par mois. La question de savoir si l'appelante encourt effectivement des frais de représentation à hauteur de la somme allouée relève de l'examen de ses charges, auquel il convient de procéder ci-dessous. Les charges admissibles de l'appelante comprennent en l'espèce une part majoritaire du loyer de la villa familiale, correctement arrêtée par le Tribunal à 3'570 fr par mois (70% de 5'100 fr.). Au vu des revenus des parties et de la situation familiale, il n'y a pas lieu d'exiger à ce stade de l'appelante qu'elle occupe un logement moins onéreux. Les impôts de l'appelante, majoritairement prélevés à la source, s'élèvent à 3'020 fr. par mois. Les allégations de l'intimé selon lesquelles l'appelante devrait bénéficier d'une imposition réduite ne sont pas rendues vraisemblables par les pièces produites et paraissent peu crédibles, compte tenu du versement de contributions d'entretien litigieuses en mains de celle-ci. Les primes d'assurance maladie de l'appelante et des enfants sont prélevées à la source sur le salaire de l'intimé. Comme l'a fait le Tribunal, les frais de transport de l'appelante peuvent être arrêtés forfaitairement à 400 fr. par mois (montant correspondant aux frais de carburant, d'entretien, d'impôt, d'assurance et de parking d'un véhicule privé), dès lors que l'appelante rend vraisemblable que la disposition d'un tel véhicule lui est nécessaire pour se rendre à son travail et véhiculer les enfants dont elle assume la garde. Les autres charges établies et admissibles de l'appelante comprennent les frais d'alarme (110 fr.), les frais de téléphonie fixe et mobile (230 fr.), les primes d'assurance-vie (150 fr.), des primes d'assurance diverses (65 fr.), les frais de yoga et de thérapie (150 fr.) et son minimum vital au sens strict (1'350 fr.), ce qui porte son budget mensuel admissible à 9'225 fr. Les frais allégués et/ou établis d'eau, de gaz et d'électricité sont compris dans le minimum vital, de même que les frais de redevance radio-tv ou les primes d'assurance ménage. Les frais d'entretien du bouilleur sont écartés, car à la charge du propriétaire de l'immeuble et non de l'appelante, qui est locataire. Les frais d'abonnement aux transports publics ne peuvent être admis en sus des frais d'utilisation d'un véhicule privé. Les sommes dépensées par l'appelante par le biais de sa carte de crédit se recoupent en partie avec les charges admises ci-dessus et ne permettent pas de distinguer les dépenses imputables à l'appelante de celles concernant le reste de la famille, ce que l'appelante reconnaît elle-même. Enfin, les frais allégués de loisirs, de repas pris en dehors du domicile et de représentation ne sont pas étayés par pièce et ne sont donc pas pris en considération. Au vu de ce qui précède, le solde disponible de l'appelante pour assumer les besoins de ses enfants peut être estimé à 4'840 fr. par mois (14'065 fr. – 9'225 fr.).</w:t>
      </w:r>
    </w:p>
    <w:p>
      <w:r>
        <w:rPr>
          <w:b/>
        </w:rPr>
        <w:t>E. 5.2.2</w:t>
      </w:r>
    </w:p>
    <w:p>
      <w:r>
        <w:t>L'intimé réalise pour sa part un salaire de 194'760 fr. brut par an, correspondant à un salaire annuel net de 134'159 fr. par an après déduction de ses impôts à la source, des contributions à son fonds de pension et des primes d'assurance-maladie de la famille. Selon les dernières pièces versées à la procédure, l'intimé a perçu en outre de son employeur une somme de 13'664 fr. à titre de " Tax allowance ", versée sur un compte bancaire dont il est titulaire aux Etats-Unis. Si l'intitulé de ce versement indique que cette somme était destinée au paiement d'impôts américains, ce que confirme une attestation établie par l'employeur de l'intimé, rien ne permet cependant de vérifier que l'intimé ait effectivement affecté ladite somme au paiement de tels impôts, ni qu'il ait été tenu de le faire. L'intimé ne produit aucun document concernant la taxation dont il fait l'objet aux Etats-Unis et n'expose notamment pas pour quelle raison un tel paiement serait nécessaire, alors qu'un montant non négligeable de près de 43'000 fr. par an - expliquant en majeure partie l'écart important existant entre son revenu brut et son revenu net - est déjà prélevé à la source sur son salaire brut au titre des impôts dont il s'acquitte dans ce pays. Dans ces conditions, on ne peut pas exclure que l'intimé dispose librement du montant supplémentaire qui lui est versé aux Etats-Unis et ce montant doit être ajouté à son revenu net, qui s'élève dès lors à 147'823 fr. (134'159 fr. + 13'664 fr.) par an, soit 12'320 fr. par mois en chiffres ronds. En sus des impôts et des primes d'assurance-maladie prélevés à la source sur son salaire, les charges admissibles de l'intimé comprennent le loyer de son logement (3'200 fr. par mois), qui n'a pas lieu d'être réduit compte tenu de ses revenus et de la nécessité pour lui d'accueillir ses enfants lors de l'exercice de son droit de visite. Sont également admis les frais établis de garantie de loyer (30 fr.), de téléphonie fixe et mobile (160 fr.), d'assurance-vie (180 fr.), les dépenses de santé non remboursées (210 fr.), et des frais de transport, arrêtés comme pour l'appelante au coût d'un véhicule privé (400 fr.). En cours de procédure, l'intimé a certes admis ne pas utiliser son véhicule pour ses déplacements professionnels. Bien que son domicile soit proche de celui des enfants, l'exercice du droit de visite qui lui est réservé implique cependant de conduire les enfants à l'école une à deux fois par semaine, école dont l'appelante elle-même indique qu'elle est éloignée de plus de dix kilomètres des domiciles des parties; il est vraisemblable que l'intimé effectue également certains déplacements liés aux loisirs et activités parascolaires des enfants. Les frais d'utilisation d'un véhicule privés sont par conséquent admis. Les charges admissibles de l'intimé comprennent en outre les frais établis d'un animal domestique (50 fr.) et le minimum vital au sens strict (1'200 fr.), dans les limites fixées par les normes d'insaisissabilité, ce qui porte à 5'430 fr. par mois le total de son minimum vital élargi. Dans ces conditions, le solde disponible de l'intimé pour contribuer à l'entretien de ses enfants peut être estimé à 6'890 fr. par mois (12'320 fr. – 5'430 fr.).</w:t>
      </w:r>
    </w:p>
    <w:p>
      <w:r>
        <w:rPr>
          <w:b/>
        </w:rPr>
        <w:t>E. 5.2.3</w:t>
      </w:r>
    </w:p>
    <w:p>
      <w:r>
        <w:t>Les besoins des enfants C______ et D______ sont essentiellement litigieux en ce qui concerne les frais de leur scolarisation dans un établissement privé, dont l'intimé conteste la nécessité. A cet égard, la Cour constate que la situation financière des parties, soit notamment les soldes disponibles mensuels dont elles disposent, leur permettent d'assumer les coûts de scolarité en question. Les enfants fréquentent l'école privée choisie par les parties depuis plus de quatre ans et enregistrent de bons résultats scolaires. Leur intérêt, notamment leur besoin de stabilité, commande aujourd'hui de ne pas leur imposer de changement susceptible de compromettre lesdits résultats ou de les priver de leur cercle d'amis respectifs. Un tel changement comporterait notamment le risque de les exposer à des perturbations s'ajoutant à celles découlant de la séparation parentale. Ces considérations l'emportent en l'espèce sur les économies d'argent et de temps de déplacement qui pourraient être réalisées si les enfants étaient scolarisés à l'école publique. Les besoins admissibles de l'enfant C______ comprennent ainsi ses frais d'écolage privé (2'565 fr. par mois), une part du loyer de la villa familiale (765 fr., soit 15% de 5'100 fr.), ses frais de cuisines scolaires (180 fr.), ses primes d'assurance maladie complémentaire (35 fr.), ses frais de loisirs et d'activités parascolaires (390 fr.) et ses frais d'abonnement aux transports publics (35 fr.), admissibles pour les cas où ses parents, qui exercent tous deux une activité lucrative à plein temps, ne peuvent assurer eux-mêmes certains déplacements. Les frais de bus scolaire ne peuvent en revanche être admis en sus du coût des transports publics et des frais de transport imputés aux parents. Après ajout du minimum vital au sens strict (600 fr.), et déduction des allocations familiales (– 300 fr.) les besoins admissibles de l'enfant C______ s'élèvent ainsi à 4'270 fr par mois. Les besoins admissibles de l'enfant D______ comprennent quant à eux ses frais d'écolage privé (2'205 fr.), une part du loyer de la villa familiale (765 fr.) ses frais de cuisines scolaires (95 fr.), ses primes d'assurance maladie complémentaire (35 fr.), ses frais de loisirs et d'activités parascolaires (260 fr.), ses frais d'abonnement aux transports publics (35 fr.) et son minimum vital au sens strict (400 fr.). Après déduction des allocations familiales (– 300 fr.) le total des besoins de l'enfant D______ s'élève ainsi à 3'405 fr. par mois.</w:t>
      </w:r>
    </w:p>
    <w:p>
      <w:r>
        <w:rPr>
          <w:b/>
        </w:rPr>
        <w:t>E. 5.2.4</w:t>
      </w:r>
    </w:p>
    <w:p>
      <w:r>
        <w:t>Au vu des chiffres établis ci-dessus, la différence entre les revenus cumulés des parties (14'065 fr. + 12'320 fr.) et les charges totales de la famille (9'225 fr. + 5'430 fr. + 4'270 fr. + 3'405 fr.) laisse apparaître un bénéfice de 4'055 fr., dont la répartition à raison de deux tiers en faveur de l'appelante et des enfants n'est pas contestée en appel. La contribution totale due par l'intimé correspond donc à cette part du bénéfice, soit 2'700 fr. (4'055 fr. x 2/3), augmentée du montant nécessaire pour combler la différence entre le solde disponible de l'appelante et les besoins des enfants ([4'270 fr. + 3'405 fr.] – 4'840 fr. = 2'835 fr.), soit un montant global de 5'535 fr. (2'700 fr. + 2'835 fr.). Au vu du rapport entre les besoins respectifs des enfants, la somme susvisée sera répartie à raison de 3'000 fr. par mois en faveur de C______ et de 2'535 fr. par mois en faveur de D______. Les chiffres 6 et 7 du dispositif du jugement entrepris seront modifiés en ce sens. S'agissant de mesures protectrices de l'union conjugale, susceptibles d'être modifiées ou rapportées en cas de changement important et durable dans la situation des parties, il n'y pas lieu de préciser expressément que les contributions d'entretien ainsi définies seront dues jusqu'à la majorité des enfants, voire au-delà. Il convient en revanche d'examiner leur point de départ, qui est également litigieux.</w:t>
      </w:r>
    </w:p>
    <w:p>
      <w:r>
        <w:rPr>
          <w:b/>
        </w:rPr>
        <w:t>E. 6</w:t>
      </w:r>
    </w:p>
    <w:p>
      <w:r>
        <w:t>Dans un dernier grief, l'appelante sollicite que le point de départ des contributions d'entretien litigieuses soit fixé au 25 juin 2015, sous déduction d'une somme totale de 19'055 fr. versée par l'intimé entre cette date et le 1 er février 2016. L'intimé conclut pour sa part à la confirmation du jugement entrepris en tant qu'il a fixé ledit point de départ au 15 octobre 2015.![endif]&gt;![if&gt;</w:t>
      </w:r>
    </w:p>
    <w:p>
      <w:r>
        <w:rPr>
          <w:b/>
        </w:rPr>
        <w:t>E. 6.1</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arrêts du Tribunal fédéral 5A_232/2011 du 17 août 2011 consid. 4.1 et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Tappy, Commentaire romand, Code Civil I, n. 23 ad art. 137 aCC). A contrario, une absence d'effet rétroactif de la contribution d'entretien se justifie lorsque la somme à disposition du (futur) crédirentier durant la procédure apparaît suffisante pour couvrir ses frais d'entretien ( ACJC/671/2015 du 5 juin 2015 consid. 6.1; ACJC/858/2014 du 11 juillet 2014 consid. 10.2).</w:t>
      </w:r>
    </w:p>
    <w:p>
      <w:r>
        <w:rPr>
          <w:b/>
        </w:rPr>
        <w:t>E. 6.2</w:t>
      </w:r>
    </w:p>
    <w:p>
      <w:r>
        <w:t>En l'espèce, il n'est pas contesté que les parties se sont séparées dès le lendemain de l'ordonnance rendue le 25 juin 2015 sur mesures superprovision-nelles, l'intimé se conformant au dispositif de celle-ci. L'obligation de l'intimé de contribuer en espèces à l'entretien de la famille court donc dès cette date, sous déduction des sommes effectivement mises à la disposition de la famille. A cet égard, il est établi qu'à fin juin 2015, après versement des salaires des deux parties, plusieurs montants afférents à l'entretien à venir de l'appelante et des enfants, dont le loyer de la villa familiale pour le mois de juillet 2015, ont été débités du compte joint dont les époux étaient titulaires, pour un montant total de 16'200 fr. A la même époque, l'appelante a en outre prélevé une somme de 4'000 fr. en espèces sur ce compte. Au vu du rapport entre le salaire de l'appelante (14'065 fr.) et celui de l'intimé (12'320 fr), il faut admettre que ce dernier a ce faisant contribué pour 46.7% aux dépenses susvisées, soit à hauteur de 9'435 fr. (20'200 fr. x 46.7%). Les allégations de l'appelante selon lesquelles l'intimé aurait lui-même ensuite prélevé une somme de 4'300 fr. sur ledit compte ne sont étayées que par ses propres déclarations devant le Ministère public; on ne saurait dès lors tenir ce prélèvement pour établi. Si l'intimé a par ailleurs reconnu avoir prélevé une somme de 3'505 fr. sur un compte personnel de l'appelante, il apparaît que ce prélèvement a servi à combler un découvert du compte joint des époux, consécutif à un transfert de fonds effectué par l'appelante elle-même. A supposer que ce transfert ait eu pour objet de couvrir des dépenses relatives à l'entretien de la famille, comme le soutient l'appelante, il faudrait admettre que l'appelante a ce faisant provisoirement assumé seule cet entretien, auquel l'intimé se voit aujourd'hui contraint de participer par le versement des contributions litigieuses. Le prélèvement susvisé reste donc dénué d'effet sur l'obligation d'entretien de l'intimé. L'éventuel règlement des dettes entre époux relève au surplus de la liquidation des rapports matrimoniaux des parties (cf. art. 205 al. 3 CC), qu'il n'y a pas lieu d'anticiper à ce stade. Il est au surplus établi que l'appelant s'est acquitté de la somme mensuelle de 2'660 fr. fixée sur mesures provisionnelles pour les mois d'août 2015 à février 2016, ce qui représente un paiement total de 18'260 fr. (2'660 fr. x 7 mois). Dans ces conditions, le point de départ des contributions d'entretien fixées ci-dessus sera fixé au 25 juin 2015, sous déduction d'une somme totale de 27'695 fr. (9'435 fr. + 18'260 fr.) déjà payée par l'intimé pour la période courant jusqu'à fin février 2016. Le jugement entrepris sera précisé en ce sens.</w:t>
      </w:r>
    </w:p>
    <w:p>
      <w:r>
        <w:rPr>
          <w:b/>
        </w:rPr>
        <w:t>E. 7.1</w:t>
      </w:r>
    </w:p>
    <w:p>
      <w:r>
        <w:t>Les frais de l'appel sont mis à la charge de la partie succombante (art. 95 et 106 CPC). La Cour peut s'écarter des règles générales et répartir les frais selon sa libre appréciation, notamment lorsque le litige relève du droit de la famille (art. 107 al. 1 let. c CPC).![endif]&gt;![if&gt; Si l'instance d'appel statue à nouveau, elle se prononce sur les frais de la première instance (art. 318 al. 3 CPC).</w:t>
      </w:r>
    </w:p>
    <w:p>
      <w:r>
        <w:rPr>
          <w:b/>
        </w:rPr>
        <w:t>E. 7.2</w:t>
      </w:r>
    </w:p>
    <w:p>
      <w:r>
        <w:t>En l'espèce, en l'absence de griefs sur ce point, et vu la nature familiale du litige, il n'y a pas lieu de modifier les frais judiciaires (ni l'absence de dépens) arrêtés en première instance. Les frais judiciaires d'appel, y compris la décision sur curatelle de représentation, seront arrêtés à 4'250 fr. (31 et 35 du Règlement fixant le tarif des frais en matière civile, RTFMC - E 1 05.10) et seront mis à la charge des parties à raison d'une moitié chacune, compte tenu de la nature familiale du litige et de l'absence de différence significative entre leurs situations financières respectives. Ces frais seront compensés avec les avances de 2'125 fr. chacune fournies par les parties, qui demeurent acquises à l'Etat (art. 111 al. 1 CPC). Pour les raisons précitées, les parties supporteront au surplus leurs propres dépens.</w:t>
      </w:r>
    </w:p>
    <w:p>
      <w:r>
        <w:rPr>
          <w:b/>
        </w:rPr>
        <w:t>E. 8</w:t>
      </w:r>
    </w:p>
    <w:p>
      <w:r>
        <w:t>La valeur litigieuse des conclusions pécuniaires est supérieure à 30'000 fr., ce qui ouvre la voie du recours en matière civile au Tribunal fédéral (art. 51 al. 1 let. a et al. 4 LTF, 72 al. 1 LTF et 74 al. 1 let. b LTF; arrêt du Tribunal fédéral 5A_720/2011 du 8 mars 2012 consid. 1 et 2.1).![endif]&gt;![if&gt; Dans le cas des recours formés contre des décisions portant sur des mesures provisionnelles, seule peut être invoquée la violation des droits constitutionnels (art. 98 LTF). * * * * * PAR CES MOTIFS, La Chambre civile : A la forme : Déclare recevable l'appel interjeté le 15 février 2016 par A______ contre les chiffres 6 et 7 du dispositif du jugement JTPI/1074/2016 rendu le 29 janvier 2016 par le Tribunal de première instance dans la cause C/12848/2015-16. Déclare recevable l'appel interjeté le 12 février 2016 par B______ contre les chiffres 3 à 7 du dispositif de ce même jugement. Au fond : Annule les chiffres 5, 6 et 7 du dispositif du jugement entrepris et, statuant à nouveau sur ces points : Ordonne l'instauration d'une curatelle d'organisation et de surveillance des relations personnelles pour une durée d'un an à compter du prononcé du présent arrêt. Dit que les frais de cette curatelle sont mis, en tant que de besoin, à charge de chacune des parties par moitié. Transmet le présent dispositif au Tribunal de protection de l'adulte et de l'enfant en vue de la nomination du curateur. Condamne B______ à verser en mains de A______, à titre de contribution à l'entretien de l'enfant C______, par mois et d'avance, allocations familiales non comprises, la somme de 3'000 fr. dès le 25 juin 2015. Condamne B______ à verser en mains de A______, à titre de contribution à l'entretien de l'enfant D______, par mois et d'avance, allocations familiales non comprises, la somme de 2'535 fr. dès le 25 juin 2015. Dit que ces contributions sont dues, sous déduction de la somme totale de 27'695 fr. versée par B______ pour la période courant jusqu'à fin février 2016. Confirme le jugement entrepris pour le surplus. Déboute les parties de toutes autres conclusions. Sur les frais : Arrête les frais judiciaires d'appel à 4'250 fr. et les met à la charge des parties à raison d'une moitié chacune. Compense ces frais avec les avances de 2'125 fr. fournies par chacune des parties, lesquelles demeurent acquises à l'Etat de Genève. Dit qu'il n'est pas alloué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