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C/1280/2014 vom 20. November 2014</w:t>
      </w:r>
    </w:p>
    <w:p>
      <w:r>
        <w:t>GE Cour de justice, 2014-11-20, FR</w:t>
      </w:r>
    </w:p>
    <w:p>
      <w:r>
        <w:rPr>
          <w:b/>
        </w:rPr>
        <w:t xml:space="preserve">Quelle: </w:t>
      </w:r>
      <w:r>
        <w:t>https://mcp.opencaselaw.ch/entscheid/ge_gerichte_C_1280_2014</w:t>
      </w:r>
    </w:p>
    <w:p>
      <w:r>
        <w:t>FR: GE_GERICHTE C/1280/2014 du 20 novembre 2014</w:t>
      </w:r>
    </w:p>
    <w:p>
      <w:r>
        <w:t>IT: GE_GERICHTE C/1280/2014 del 20 novembre 2014</w:t>
      </w:r>
    </w:p>
    <w:p>
      <w:pPr>
        <w:pStyle w:val="Heading2"/>
      </w:pPr>
      <w:r>
        <w:t>Regeste</w:t>
      </w:r>
    </w:p>
    <w:p>
      <w:r>
        <w:t>EFFET SUSPENSIF; SUSPENSION DE LA PROCÉDURE; DOMMAGE IRRÉPARABLE | CPC.325</w:t>
      </w:r>
    </w:p>
    <w:p>
      <w:pPr>
        <w:pStyle w:val="Heading2"/>
      </w:pPr>
      <w:r>
        <w:t>Volltext</w:t>
      </w:r>
    </w:p>
    <w:p>
      <w:r>
        <w:t>Genf Cour de Justice (Cour civile) Chambre civile 20.11.2014 C/1280/2014 Genève Cour de Justice (Cour civile) Chambre civile 20.11.2014 C/1280/2014 Ginevra Cour de Justice (Cour civile) Chambre civile 20.11.2014 C/1280/2014</w:t>
      </w:r>
    </w:p>
    <w:p>
      <w:r>
        <w:t>EFFET SUSPENSIF; SUSPENSION DE LA PROCÉDURE; DOMMAGE IRRÉPARABLE | CPC.325</w:t>
      </w:r>
    </w:p>
    <w:p>
      <w:r>
        <w:t>C/1280/2014 ACJC/1448/2014 du 20.11.2014 sur OTPI/1305/2014 ( SCC ) Descripteurs : EFFET SUSPENSIF; SUSPENSION DE LA PROCÉDURE; DOMMAGE IRRÉPARABLE Normes : CPC.325 Par ces motifs RÉPUBLIQUE ET CANTON DE GENÈVE POUVOIR JUDICIAIRE C/1280/2014 ACJC/1448/2014 ARRÊT DE LA COUR DE JUSTICE Chambre civile du JEUDI 20 NOVEMBRE 2014 Entre Monsieur A______ , domicilié ______ (GE), recourant contre une ordonnance rendue par la 8ème Chambre du Tribunal de première instance de ce canton le 7 octobre 2014, comparant par Me Christian Pirker, avocat, 36, rue des Maraîchers, 1205 Genève, en l'étude duquel il fait élection de domicile, et Monsieur B______ , domicilié ______ (GE), intimé, comparant par Me François Bellanger, avocat, 8-10, rue de Hesse, case postale 5715, 1211 Genève 11, en l'étude duquel il fait élection de domicile. Vu, EN FAIT , l'ordonnance du Tribunal de première instance du 7 octobre 2014 refusant la suspension de la cause opposant B______ à A______ et impartissant à ce dernier un délai au 31 octobre 2014 pour déposer sa réponse; Vu le recours formé par A______, qui conclut à l'annulation de cette ordonnance et, principalement, à la suspension de la procédure; Qu'il demande l'octroi de l'effet suspensif, exposant qu'à défaut du prononcé de celui-ci, il serait amené à déposer sa réponse, alors que s'il obtenait gain de cause sur recours, la procédure serait ensuite suspendue, d'une part, et que, d'autre part, il ne lui était pas possible de répondre à la demande avant que la cause 1______ justifiant la suspension requise n'ait été tranchée; Que l'intimé conclut au rejet de la requête, le recours étant irrecevable et le recourant ne faisant état que d'inconvénients personnels liés au fait de devoir déposer sa réponse avant de connaître l'issue du présent recours, sans démontrer qu'il subirait ainsi un préjudice difficilement réparable; Considérant, EN DROIT ,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Qu'en l'espèce, l'ordonnance querellée est une ordonnance d'instruction, dès lors qu'elle rejette la requête de suspension et fixe un délai pour répondre à la partie défenderesse (cf. Roger Weber in Oberhamme/Domej/Haas, Schweizerische Zivilprozessordnung, 2014, n. 11 ad art. 126 et les références citées); Qu'ainsi, seule l'existence d'un préjudice difficilement réparable ouvre la voie du recours; Que le recourant voit un tel préjudice dans le fait que la procédure de première instance se poursuit alors que la Cour pourrait rendre un arrêt de suspension; Qu'il n'apparaît cependant pas, prima facie , que le fait d'être amené à répondre à la demande avant que la Cour tranche le présent recours soit de nature à causer au recourant un préjudice difficilement réparable; Qu'en effet, si le recours était admis, le mémoire-réponse pourrait être retiré du dossier, voire complété à la suite de la reprise de l'instance; Qu'en outre, le recourant ne risque pas d'être privé de la possibilité de faire état, s'il le souhaite, de l'issue de la procédure administrative ultérieurement dans la procédure de première instance, au titre de faits nouveaux et de pouvoir alors développer les arguments qu'il estime opportuns; Qu'au vu de l'argumentation sur effet suspensif développée par le recourant, le risque de préjudice difficilement réparable n'est ainsi, à première vue, pas manifeste; Que, partant, la requête tendant à la suspension de l'effet exécutoire attaché au jugement querellé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rendue le 7 octobre 2014 par le Tribunal de première instance dans la procédure C/1280/2014-8. Dit qu'il sera statué sur les frais et dépens de l'incident avec la décision sur le fond. Siégeant : Madame Florence KRAUSKOPF, présidente;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