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C/12597/2014 vom 2. Dezember 2016</w:t>
      </w:r>
    </w:p>
    <w:p>
      <w:r>
        <w:t>GE Cour de justice, 2016-12-02, FR</w:t>
      </w:r>
    </w:p>
    <w:p>
      <w:r>
        <w:rPr>
          <w:b/>
        </w:rPr>
        <w:t xml:space="preserve">Quelle: </w:t>
      </w:r>
      <w:r>
        <w:t>https://mcp.opencaselaw.ch/entscheid/ge_gerichte_C_12597_2014</w:t>
      </w:r>
    </w:p>
    <w:p>
      <w:r>
        <w:t>FR: GE_GERICHTE C/12597/2014 du 2 décembre 2016</w:t>
      </w:r>
    </w:p>
    <w:p>
      <w:r>
        <w:t>IT: GE_GERICHTE C/12597/2014 del 2 dicembre 2016</w:t>
      </w:r>
    </w:p>
    <w:p>
      <w:pPr>
        <w:pStyle w:val="Heading2"/>
      </w:pPr>
      <w:r>
        <w:t>Regeste</w:t>
      </w:r>
    </w:p>
    <w:p>
      <w:r>
        <w:t>CONTRAT DE DÉPÔT; IMPOSSIBILITÉ; MANDAT | CO.481.1; CO.475.1; CO.119.1; CO.397.1; LDIP.19</w:t>
      </w:r>
    </w:p>
    <w:p>
      <w:pPr>
        <w:pStyle w:val="Heading2"/>
      </w:pPr>
      <w:r>
        <w:t>Erwägungen</w:t>
      </w:r>
    </w:p>
    <w:p>
      <w:r>
        <w:rPr>
          <w:b/>
        </w:rPr>
        <w:t>E. 10</w:t>
      </w:r>
    </w:p>
    <w:p>
      <w:r>
        <w:t>L'appelante soutient enfin que la requête de l'intimée constitue en tout état de cause un abus de droit, dans la mesure où cette dernière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w:t>
      </w:r>
    </w:p>
    <w:p>
      <w:r>
        <w:rPr>
          <w:b/>
        </w:rPr>
        <w:t>E. 10.1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10.2</w:t>
      </w:r>
    </w:p>
    <w:p>
      <w:r>
        <w:t>En l'espèce, les arguments de l'appelante doivent être écartés. L'intimée a un intérêt légitime à récupérer l'argent confié à la banque. Son comportement n'est constitutif d'aucun abus de droit.</w:t>
      </w:r>
    </w:p>
    <w:p>
      <w:r>
        <w:rPr>
          <w:b/>
        </w:rPr>
        <w:t>E. 11</w:t>
      </w:r>
    </w:p>
    <w:p>
      <w:r>
        <w:t>Compte tenu de ce qui précède, il n'y a pas lieu d'examiner l'existence des risques de poursuites pénales invoqués par l'appelante. L'appel sera rejeté et le jugement entrepris confirmé.</w:t>
      </w:r>
    </w:p>
    <w:p>
      <w:r>
        <w:rPr>
          <w:b/>
        </w:rPr>
        <w:t>E. 12</w:t>
      </w:r>
    </w:p>
    <w:p>
      <w:r>
        <w:t>Les frais judiciaires d'appel, arrêtés à 26'500 fr. (art. 17 et 35 RTFMC), seront mis à la charge de l'appelante, qui succombe (art. 95 al. 2 et 106 al. 1 CPC). Ils seront partiellement compensés avec l'avance de frais de 25'000 fr. fournie par elle, qui reste acquise à l'Etat (art. 111 al. 1 CPC). Elle sera par conséquent condamnée à verser 1'500 fr. aux Services financiers du Pouvoir judiciaire. L'appelante sera par ailleurs condamnée à verser à l'intimée la somme de 23'000 fr. à titre de dépens d'appel, débours compris (art. 84, 85 et 90 RTFMC, art. 25 et 26 LaCC), étant précisé que les prestations du conseil de l'intimée ne sont pas soumises à la TVA (arrêt du Tribunal fédéral 4A_623/2015 du 3 mars 2016). * * * * * PAR CES MOTIFS, La Chambre civile : A la forme : Déclare recevable l'appel interjeté le 11 avril 2016 par A______ contre le jugement JTPI/2192/2016 rendu le 18 février 2016 par le Tribunal de première instance dans la cause C/12597/2014-21. Au fond : Confirme ce jugement. Déboute les parties de toutes autres conclusions. Sur les frais : Arrête les frais judiciaires d'appel à 26'500 fr., les met à la charge de A______ et dit qu'ils sont partiellement compensés avec l'avance de frais, qui reste acquise à l'Etat de Genève. Condamne A______ à payer à l'Etat de Genève, soit pour lui les Services financiers du Pouvoir judiciaire, la somme de 1'500 fr. Condamne A______ à payer à B______ la somme de 23'000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