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C/12526/2016 vom 3. November 2017</w:t>
      </w:r>
    </w:p>
    <w:p>
      <w:r>
        <w:t>GE Cour de justice, 2017-11-03, FR</w:t>
      </w:r>
    </w:p>
    <w:p>
      <w:r>
        <w:rPr>
          <w:b/>
        </w:rPr>
        <w:t xml:space="preserve">Quelle: </w:t>
      </w:r>
      <w:r>
        <w:t>https://mcp.opencaselaw.ch/entscheid/ge_gerichte_C_12526_2016</w:t>
      </w:r>
    </w:p>
    <w:p>
      <w:r>
        <w:t>FR: GE_GERICHTE C/12526/2016 du 3 novembre 2017</w:t>
      </w:r>
    </w:p>
    <w:p>
      <w:r>
        <w:t>IT: GE_GERICHTE C/12526/2016 del 3 novembre 2017</w:t>
      </w:r>
    </w:p>
    <w:p>
      <w:pPr>
        <w:pStyle w:val="Heading2"/>
      </w:pPr>
      <w:r>
        <w:t>Regeste</w:t>
      </w:r>
    </w:p>
    <w:p>
      <w:r>
        <w:t>SUSPENSION DE LA PROCÉDURE ; DÉCISION NÉGATIVE ; DÉCISION D'IRRECEVABILITÉ | CPC.319b.2</w:t>
      </w:r>
    </w:p>
    <w:p>
      <w:pPr>
        <w:pStyle w:val="Heading2"/>
      </w:pPr>
      <w:r>
        <w:t>Erwägungen</w:t>
      </w:r>
    </w:p>
    <w:p>
      <w:r>
        <w:rPr>
          <w:b/>
        </w:rPr>
        <w:t>E. 1</w:t>
      </w:r>
    </w:p>
    <w:p>
      <w:r>
        <w:t>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rPr>
          <w:b/>
        </w:rPr>
        <w:t>E. 1.2</w:t>
      </w:r>
    </w:p>
    <w:p>
      <w:r>
        <w:t>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 ème éd., 2013, n. 8 ad art. 126 CPC; Gschwend/Bornatico, loc. cit.; Colombini, Condensé de la jurisprudence fédérale et vaudoise relative à l'appel et au recours en matière civile, in JdT 2013 III p. 131 ss, 157).</w:t>
      </w:r>
    </w:p>
    <w:p>
      <w:r>
        <w:rPr>
          <w:b/>
        </w:rPr>
        <w:t>E. 1.3</w:t>
      </w:r>
    </w:p>
    <w:p>
      <w:r>
        <w:t>Le recours, écrit et motivé, doit être introduit dans les dix jours à compter de la notification de la décision motivée (art. 321 al. 2 CPC). En l'espèce, le recours a été introduit dans le délai et la forme prescrits par la loi, par une partie qui dispose d'un intérêt à agir (art. 59 al. 2 let. a CPC). Il est donc recevable sous cet angle.</w:t>
      </w:r>
    </w:p>
    <w:p>
      <w:r>
        <w:rPr>
          <w:b/>
        </w:rPr>
        <w:t>E. 1.4</w:t>
      </w:r>
    </w:p>
    <w:p>
      <w:r>
        <w:t>Les conclusions, les allégations de faits et les preuves nouvelles sont irrecevables dans le cadre d'un recours (art. 326 al. 1 CPC). Les pièces nouvelles produites par la recourante sont dès lors irrecevables.</w:t>
      </w:r>
    </w:p>
    <w:p>
      <w:r>
        <w:rPr>
          <w:b/>
        </w:rPr>
        <w:t>E. 2</w:t>
      </w:r>
    </w:p>
    <w:p>
      <w:r>
        <w:t>Selon la recourante, l'ordonnance querellée est susceptible de lui causer un préjudice difficilement réparable parce qu'un refus de suspendre la procédure prudhommale l'obligerait à démontrer sa version des faits dans cette procédure-là et devant l'autorité pénale. Or, celle-ci dispose de moyens d'investigations importants et pertinents pour clarifier l'implication de B______ dans les infractions en cause. La situation financière difficile de la recourante ne lui permet pas d'assumer les coûts de ces deux procédures. Par ailleurs, elle invoque un risque de contrariété de décisions en ce sens que les faits reprochés à B______ pourraient ne pas être suffisamment prouvés par le Tribunal des prud'hommes tandis que l'autorité pénale établirait sa culpabilité. Selon l'intimé, la suspension est utilisée par la recourante afin de différer l'exécution de ses obligations contractuelles.</w:t>
      </w:r>
    </w:p>
    <w:p>
      <w:r>
        <w:rPr>
          <w:b/>
        </w:rPr>
        <w:t>E. 2.1</w:t>
      </w:r>
    </w:p>
    <w:p>
      <w:r>
        <w:t>La notion de préjudice difficilement réparable au sens de l'art. 319 let. b ch. 2 CPC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Brunner/Gasser/Schwander [éd.], 2011, n. 39 ad art. 319 CPC). L'instance supérieure devra se montrer exigeante, voire restrictive, avant d'admettre la réalisation de cette condition (Jeandin, in Code de procédure civile commenté, Bohnet/Haldy/Jeandin/Schweizer/Tappy [éd.], 2011, n. 22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Au sens de l'art. 319 let. b ch. 2 CPC, une simple prolongation de la procédure ou un accroissement des frais ne constitue pas un préjudice difficilement réparable ( ACJC/2/2016 du 6 janvier 2016 consid. 2.1 et les références citées). Lorsque la condition du préjudice difficilement réparable n'est pas remplie, le recours est irrecevable et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op. cit., n° 9 ad art. 126 CPC).</w:t>
      </w:r>
    </w:p>
    <w:p>
      <w:r>
        <w:rPr>
          <w:b/>
        </w:rPr>
        <w:t>E. 2.2</w:t>
      </w:r>
    </w:p>
    <w:p>
      <w:r>
        <w:t>En l'espèce, l'ordonnance querellée refusant de suspendre la procédure prudhommale dans l'attente de l'issue de la procédure pénale (P/1______) n'est pas de nature à causer un dommage irréparable à la recourante. En effet, la recourante ayant été assignée en paiement par son ancien employé devant le Tribunal des prud'hommes, elle doit nécessairement défendre à cette action et exposer des coûts (honoraires d'avocat), que la suspension ait été refusée ou ordonnée. Ainsi, le refus de la suspension implique une exposition immédiate à ces coûts, tandis que ceux-ci ne seront que différés, en cas de suspension, à la reprise de l'instruction. La plainte pénale ayant été principalement déposée contre l'administrateur de la recourante, l'issue de cette procédure n'est pas déterminante pour le sort de la présente procédure prudhommale, ce d'autant plus que les prétentions litigieuses entre les parties relèvent essentiellement du droit contractuel. En tout état de cause, un éventuel accroissement du coût de la procédure en raison du fait que la recourante ne pourrait pas produire, dans la procédure prudhommale, d'éventuelles preuves recueillies dans le cadre de la procédure pénale ne constitue pas un préjudice difficilement réparable selon la jurisprudence. Le recours est, par conséquent, irrecevable. Pour le surplus, le risque de contrariété des décisions ne justifie pas davantage la suspension, d'une part, parce que le juge civil n'est pas lié par le jugement pénal (art. 53 CO) et, d'autre part, parce que l'instruction pénale est en cours, de sorte qu'une éventuelle suspension de la procédure prudhommale porterait atteinte au principe de célérité.</w:t>
      </w:r>
    </w:p>
    <w:p>
      <w:r>
        <w:rPr>
          <w:b/>
        </w:rPr>
        <w:t>E. 3</w:t>
      </w:r>
    </w:p>
    <w:p>
      <w:r>
        <w:t>La recourante, qui succombe, sera condamnée aux frais judiciaires du recours, arrêtés à 700 fr., y compris l'émolument relatif à la décision sur requête de suspension du caractère exécutoire de l'ordonnance ( ACJC/816/2016 du 10 juin 2016; art. 104 al. 1, 105 et 106 al. 1 CPC; art. 41 RTFMC). Ils sont couverts par l'avance de même montant opérée par la recourante, qui reste acquise à l'Etat (art. 111 CPC). Il n'est pas alloué de dépens ni d'indemnité pour la représentation en justice dans les causes soumises à la juridiction des prud'hommes (art. 22 al. 2 LaCC).</w:t>
      </w:r>
    </w:p>
    <w:p>
      <w:r>
        <w:rPr>
          <w:b/>
        </w:rPr>
        <w:t>E. 4</w:t>
      </w:r>
    </w:p>
    <w:p>
      <w:r>
        <w:t>La valeur litigieuse des conclusions pécuniaires, au sens de l'art. 51 LTF, est supérieure 30'000 fr. (ATF 133 III 368 consid. 1.3.2; arrêts du Tribunal fédéral 4A_708/2014 du 2 juin 2015 consid. 1; 4A_404/2011 du 7 novembre 2011 consid. 1.1; 4P.344/2006 du 27 février 2007 consid. 5.2, in RSPC 2007 p. 399).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PAR CES MOTIFS, La Chambre des prud'hommes, groupe 4: Déclare irrecevable le recours interjeté le 16 février 2017 par A______ contre la décision rendue le 3 février 2017 par le Tribunal des prud'hommes dans la cause C/12526/2016 - 4. Arrête les frais judiciaires du recours à 700 fr. Les met à la charge de A______ et dit qu'ils sont compensés avec l'avance de même montant, qui reste acquise à l'Etat de Genève. Siégeant : Madame Jocelyne DEVILLE-CHAVANNE,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