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C/12475/2021 vom 22. Mai 2023</w:t>
      </w:r>
    </w:p>
    <w:p>
      <w:r>
        <w:t>GE Cour de justice, 2023-05-22, FR</w:t>
      </w:r>
    </w:p>
    <w:p>
      <w:r>
        <w:rPr>
          <w:b/>
        </w:rPr>
        <w:t xml:space="preserve">Quelle: </w:t>
      </w:r>
      <w:r>
        <w:t>https://mcp.opencaselaw.ch/entscheid/ge_gerichte_C_12475_2021</w:t>
      </w:r>
    </w:p>
    <w:p>
      <w:r>
        <w:t>FR: GE_GERICHTE C/12475/2021 du 22 mai 2023</w:t>
      </w:r>
    </w:p>
    <w:p>
      <w:r>
        <w:t>IT: GE_GERICHTE C/12475/2021 del 22 maggio 2023</w:t>
      </w:r>
    </w:p>
    <w:p>
      <w:pPr>
        <w:pStyle w:val="Heading2"/>
      </w:pPr>
      <w:r>
        <w:t>Erwägungen</w:t>
      </w:r>
    </w:p>
    <w:p>
      <w:r>
        <w:rPr>
          <w:b/>
        </w:rPr>
        <w:t>E. 2</w:t>
      </w:r>
    </w:p>
    <w:p>
      <w:r>
        <w:t>Les recourants reprochent à la décision entreprise de leur dénier la qualité de mandataire professionnellement qualifié. 2.1.1 Sont autorisés à représenter les parties à titre professionnel,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 Le législateur cantonal a volontairement laissé la notion de mandataire professionnellement qualifié imprécise et souhaité une application souple, ce qui peut se concevoir s'agissant de procédures soumises à la maxime d'office. Vu le silence des travaux préparatoires et du texte légal, la jurisprudence a retenu qu'un mandataire est professionnellement qualifié dès que la pratique lui a permis d'acquérir au moins les connaissances juridiques élémentaires dans les domaines relevant du droit du bail ou du droit du travail, ainsi que de la procédure applicable devant les juridictions compétentes en ces matières. Il doit être admis que le titulaire du brevet d'avocat possède, en raison de sa formation, les qualités requises pour être considéré comme un mandataire professionnellement qualifié, à moins qu'il n'ait été suspendu ou radié du barreau pour des manquements professionnels graves ne permettant pas de garantir la protection des justiciables (arrêts de la Cour de justice ACJC/77/2017 du 23 janvier 2017 consid. 2.1; ACJC/1655/2012 du 19 novembre 2012 consid. 3.1; ACJC/1034/2008 du 8 septembre 2008 consid. 2.4; ACJC/1145/2003 du 10 novembre 2003 consid. 2c; ACJC/57/1987 consid. 2; ACJC/56/1987 consid. 2b). La qualité de mandataire professionnellement qualifié est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4A_268/2010 du 21 octobre 2010 consid. 6.2). La qualité de mandataire professionnellement qualifié ne saurait être réservée aux organismes affiliés à une organisation syndicale faitière et refusée à des organismes souhaitant rester indépendants. Ce qui est déterminant, c'est que l'organisme puisse mettre à disposition des plaideurs, au minimum, une collaboratrice ou un collaborateur doté des connaissances théoriques et pratiques nécessaires à la conduite de procédures. La vérification des qualités de l'organisme est ainsi liée à celle du collaborateur qui intervient en son nom (arrêt du Tribunal fédéral précité, consid. 6.4). 2.1.2 Pour l'acte introductif d'instance, la capacité de postuler du mandataire qui a rédigé la demande est une condition de sa recevabilité (art. 59 al. 1 CPC). Le tribunal examine d'office si les conditions de recevabilité sont remplies (art. 60 CPC). Si la capacité de postuler est déniée à un mandataire, un délai doit être fixé à la partie concernée pour remédier à l'irrégularité (art. 132 CPC par analogie). Il s'ensuit que, dans une procédure pendante, l'autorité qui doit statuer sur la capacité de postuler du mandataire est le tribunal compétent sur le fond de la cause ou, sur délégation, un membre de ce même tribunal (art. 124 al. 2 CPC). La primauté du droit fédéral interdit aux cantons de consacrer la compétence d'une autre autorité (ATF 147 III 351 consid. 6.3; arrêt du Tribunal fédéral 4A_87/2012 du 10 avril 2012 consid. 3.2.3). 2.1.3 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 30 LOJ. Selon l'art. 1 al. 5 RTPH, la séance plénière exerce les attributions que la loi lui confère de même que celles qui sont attribuées au collège des présidents et vice-présidents de groupe. L'art. 2 al. 1 RTPH prévoit que la commission de gestion du Tribunal des prud'hommes se compose des 10 présidents et vice-présidents de groupe élus lors des assemblées générales annuelles, du greffier de juridiction et des greffiers-adjoints.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 12 al. 3 LTPH. 2.1.4 Des décisions entachées d'erreurs sont nulles si le vice qui les affecte est particulièrement grave, s'il est manifeste ou du moins facilement décelable et si, de surcroît, la sécurité du droit n'est pas sérieusement mise en danger par l'admission de la nullité. Sauf dans les cas expressément prévus par la loi, il ne faut admettre la nullité qu'à titre exceptionnel,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La nullité d'un jugement peut être invoquée et doit être relevée d'office, en tout temps et par toutes les autorités chargées d'appliquer le droit. Elle peut également être invoquée dans un recours – et même encore dans la procédure d'exécution (ATF 145 III 436 consid. 4; ATF 137 III 217 consid. 2.4.3; 129 I 361 consid. 2.1, JT 2004 II 47 ; arrêts du Tribunal fédéral 5D_78/2022 du 31 octobre 2022 consid. 3.1). 2.2.1 En l'espèce, la décision attaquée porte sur la capacité à postuler de A______ SA en qualité de mandataire professionnellement qualifié et, partant, sur la recevabilité des actes qu'elle sera appelée à effectuer au nom d'une partie dans le cadre d'une procédure en cours. Elle a été rendue par le Collège des présidents et vice-présidents de groupe du Tribunal des prud'hommes. Or, elle relève de la compétence du Tribunal des prud'hommes en charge de la procédure au fond – constitué conformément à l'art. 12 LTPH, soit un président, un juge prud'homme employeur et un juge prud'homme salarié – qui est seul fondé à examiner les conditions de recevabilité des actes et à rendre des décisions en matière de conduite du procès. Les compétences légales du Collège des présidents et vice-présidents de groupe du Tribunal des prud'hommes, soit qu'il soit constitué en séance plénière de la juridiction, soit qu'il soit constitué en commission de gestion, sont de nature administrative ou organisationnelle; elles ne lui permettent pas de s'immiscer dans la conduite d'une procédure judiciaire prud'homale. Au vu de l'incompétence fonctionnelle de l'autorité qui a prononcé la décision attaquée, celle-ci est nulle, ce qui sera constaté d'office. 2.2.2 Même si cette décision avait été rendue par le tribunal compétent, elle aurait été annulée au vu des principes jurisprudentiels rappelés ci-dessus dans la mesure où les premiers juges retiennent que seuls un syndicat ou une association professionnelle ayant pour but la représentation individuelle de leurs membres, une assurance de protection juridique ou des personnes soumises à une autorité de surveillance, à l'instar des avocats, pourraient être admis en tant que mandataires professionnellement qualifiés.</w:t>
      </w:r>
    </w:p>
    <w:p>
      <w:r>
        <w:rPr>
          <w:b/>
        </w:rPr>
        <w:t>E. 3</w:t>
      </w:r>
    </w:p>
    <w:p>
      <w:r>
        <w:t>Le constat de nullité de la décision entreprise auquel parvient la Chambre épuise le débat en seconde instance, la cause devant être renvoyée à l'autorité inférieure (art. 317 al. 1 let. c CPC). La Chambre ne saurait statuer à nouveau (art. 317 al. 1 let. b CPC) en l'absence de décision valable de première instance sur laquelle se prononcer.</w:t>
      </w:r>
    </w:p>
    <w:p>
      <w:r>
        <w:rPr>
          <w:b/>
        </w:rPr>
        <w:t>E. 4</w:t>
      </w:r>
    </w:p>
    <w:p>
      <w:r>
        <w:t>Il n'est pas perçu de frais judiciaires ni alloué de dépens de recours (art. 22 al. 2 LaCC). * * * * * PAR CES MOTIFS, La Chambre des prud'hommes, groupe : A la forme : Déclare recevable le recours formé le 1 er décembre 2022 par A______ SA et B______ contre la décision JTPH/352/2022 du 15 novembre 2022 du Collège des présidents et vice-présidents de groupe du Tribunal des prud'hommes. Au fond : Constate la nullité de cette décision. Retourne la cause au Tribunal des prud'hommes, groupe 3. Dit qu'il n'est pas perçu de frais judiciaires ni alloué de dépens de recours. Siégeant : Monsieur Jean REYMOND, président; Monsieur Claudio PANNO, juge employeur; Madame Agnès MINDER-JAEGER,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limitées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