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C/12464/2020 vom 21. April 2021</w:t>
      </w:r>
    </w:p>
    <w:p>
      <w:r>
        <w:t>GE Cour de justice, 2021-04-21, FR</w:t>
      </w:r>
    </w:p>
    <w:p>
      <w:r>
        <w:rPr>
          <w:b/>
        </w:rPr>
        <w:t xml:space="preserve">Quelle: </w:t>
      </w:r>
      <w:r>
        <w:t>https://mcp.opencaselaw.ch/entscheid/ge_gerichte_C_12464_2020</w:t>
      </w:r>
    </w:p>
    <w:p>
      <w:r>
        <w:t>FR: GE_GERICHTE C/12464/2020 du 21 avril 2021</w:t>
      </w:r>
    </w:p>
    <w:p>
      <w:r>
        <w:t>IT: GE_GERICHTE C/12464/2020 del 21 aprile 2021</w:t>
      </w:r>
    </w:p>
    <w:p>
      <w:pPr>
        <w:pStyle w:val="Heading2"/>
      </w:pPr>
      <w:r>
        <w:t>Volltext</w:t>
      </w:r>
    </w:p>
    <w:p>
      <w:r>
        <w:t>Genf Cour de Justice (Cour civile) Chambre civile 18.05.2021 C/12464/2020 Genève Cour de Justice (Cour civile) Chambre civile 18.05.2021 C/12464/2020 Ginevra Cour de Justice (Cour civile) Chambre civile 18.05.2021 C/12464/2020</w:t>
      </w:r>
    </w:p>
    <w:p>
      <w:r>
        <w:t>C/12464/2020 ACJC/620/2021 du 18.05.2021 sur JTPI/5112/2021 ( SDF ) Par ces motifs RÉPUBLIQUE ET CANTON DE GENÈVE POUVOIR JUDICIAIRE C/12464/2020 ACJC/620/2021 ARRÊT DE LA COUR DE JUSTICE Chambre civile DU MARDI 18 MAI 2021 Entre Monsieur A______ , domicilié ______[GE], appelant d'un jugement rendu par la 5 ème Chambre du Tribunal de première instance de ce canton le 21 avril 2021, comparant par Me Elodie FRITSCHY-KUGLER, avocate, Borel &amp; Barbey, rue de Jargonnant 2, case postale 6045, 1211 Genève 6, en l'Étude de laquelle il fait élection de domicile, et Madame B______ , domiciliée ______[GE], intimée, comparant par Me Andrea VON FLÜE, avocat, Könemann &amp; von Flüe, rue de la Terrassière 9, 1207 Genève, en l'Étude duquel elle fait élection de domicile. Attendu, EN FAIT , que par jugement du 21 avril 2021, le Tribunal de première instance, statuant sur mesures protectrices de l'union conjugale, a autorisé les époux A______, né le ______ 1960, et B______, née D______ le ______ 1973, à vivre séparés (ch. 1 du dispositif), attribué à A______ la jouissance exclusive du domicile conjugal sis 1______, à Genève (ch. 2), prononcé la garde alternée de A______ et B______ sur l'enfant C______ née le ______ 2009 qui s'exercera, sauf accord contraire des parents à raison d'une semaine chez chacun d'eux, avec passage de l'enfant le lundi à l'école et pendant la moitié des vacances scolaires (ch. 3), fixé le domicile légal de l'enfant C______ chez A______ (ch. 4), ordonné à A______ et B______ de mettre en place, sans délai, un suivi psychologique pour C______ et au besoin, les y a condamné (ch. 5), condamné A______ à verser en mains de B______, par mois et d'avance, allocations familiales non comprises, au titre de contribution à l'entretien de C______, les sommes de 1'200 fr. du 1er décembre 2020 au 31 août 2021, 900 fr. du 1er septembre 2021 au 31 août 2022 et 250 fr. dès le 1 er septembre 2022 (ch. 6), et, au titre de contribution à son entretien, les sommes de 550 fr. du 1er décembre 2020 au 31 août 2021, 675 fr. du 1er septembre 2021 au 31 août 2022 et 920 fr. depuis le 1er septembre 2022 (ch. 7), statué sur les frais (ch. 8 et 9) et débouté els parties de toutes autres conclusions (ch. 10); Que le Tribunal a indiqué notamment qu'aucun élément du dossier ne nécessitait de s'éloigner des recommandations du SEASP, lequel relève qu'il était dans l'intérêt de C______ de passer du temps directement avec chacun de ses parents et qu'aucun élément ne permettait de conclure qu'un ou l'autre de parent ne s'occupait pas correctement de l'enfant, de sorte qu'une garde alternée serait instaurée. Que par acte déposé au greffe de la Cour de justice le 6 mai 2021, A______ a formé appel contre ce jugement; qu'il a notamment conclu à l'annulation des ch. 3, 6 et 7 de son dispositif et conclu à ce que la garde exclusive sur l'enfant C______ lui soit attribuée et à ce qu'un droit de visite usuel d'un week-end sur deux et durant la moitié des vacances scolaires soit réservé à B______ et à ce que cette dernière soit condamnée à lui verser une contribution à l'entretien de C______ de 940 fr. par mois jusqu'à sa majorité, voire au-delà; qu'il a conclu, subsidiairement, à ce qu'une garde alternée soit instaurée et à ce qu'il soit dit que chacun des parents assume les frais de l'enfant lorsqu'il en a la garde et qu'aucune contribution d'entretien n'est due; Qu'il a conclu, préalablement, à la suspension de l'effet exécutoire du jugement attaqué; qu'il a exposé qu'il sollicitait la restitution de l'effet suspensif du jugement attaqué en lien "notamment" avec l'attribution de la garde et les contributions d'entretien fixées; qu'il a soutenu qu'il était essentiel, dans l'intérêt de l'enfant, que la garde alternée ne soit pas mise en place et qu'en ce qui concernait les contributions d'entretien, il était condamné à verser des contributions d'entretien de 1'750 fr. par mois alors que son compte courant affichait un solde 1'950 fr.; B______ percevait en outre des prestations de l'Hospice général; Qu'invitée à se déterminer, B______ a conclu au rejet de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 du Tribunal fédéral précité 5A_941/2018 du 23 janvier 2019 consid. 5.3.2); Que concernant le paiement d'une somme d'argent,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il n'est pas contesté que depuis fin novembre 2020, C______ vit chez son père du lundi au vendredi et chez sa mère du samedi au dimanche; qu'il convient de ne pas modifier ce mode de garde durant la procédure d'appel, l'appel ne pouvant, prima facie , pas être d'emblée considéré comme manifestement infondé sur ce point; que le caractère exécutoire du ch. 3 du dispositif du jugement attaqué sera dès lors suspendu; Quant au paiement des contributions, l'appelant relève qu'il ne dispose que de 1'950 fr. sur son compte courant alors qu'il doit verser des contributions d'entretien de 1'750 fr. jusqu'en août 2021. Qu'il doit être compris de cette explication qu'il soutient que l'effet suspensif doit être accordé en ce qui concerne l'arriéré de contributions d'entretien compte tenu du fait que sa fortune ne lui permet pas de s'en acquitter; que l'intimée ne soutient pas pour sa part qu'elle subirait un préjudice difficilement réparable si elle ne percevait pas immédiatement cet arriéré; que le caractère exécutoire du jugement attaqué sera dès lors suspendu à cet égard; Que pour le surplus, l'appelant ne fournit aucune autre motivation, qui pourrait concerner les contributions d'entretien courantes; qu'il ne sera dès lors pas davantage entrée en matière sur la requête d'effet suspensif de ce point de vue, étant simplement relevé que le fait que l'intimée perçoive des indemnités de la part de l'Hospice général n'est pas déterminant puisque l'aide sociale est subsidiaire; Que le caractère exécutoire du jugement attaqué sera ainsi suspendu en tant qu'il concerne les ch. 6 et 7 du dispositif du jugement attaqué pour la période du 1 er décembre 2020 au 30 avril 2021; Pour le surplus, l'appelant conclut à la suspension du caractère exécutoire du jugement attaqué, sans expliquer pourquoi ladite suspension devrait être prononcée pour les autres chiffres du dispositif du jugement attaqué que les ch. 3, 6 et 7; Qu'il sera statué sur les frais et dépens liés à la présente décision avec l'arrêt au fond (art. 104 al. 3 CPC). * * * * * PAR CES MOTIFS, La Chambre civile : Statuant sur requête de suspension du caractère exécutoire du jugement entrepris: Admet la requête formée par A______ tendant à suspendre le caractère exécutoire du ch. 3 du dispositif du jugement JTPI/5112/2021 rendu le 21 avril 2021 par le Tribunal de première instance dans la cause C/12464/2020, ainsi que des ch. 6 et 7 pour la période du 1 er décembre 2020 au 30 avril 2021. La rejette pour le surplus. Dit qu'il sera statué sur les frais liés à la présente décision dans l'arrêt rendu sur le fond. Siégeant : Monsieur Laurent RIEBEN, président; Madame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