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C/12223/2017 vom 18. Februar 2020</w:t>
      </w:r>
    </w:p>
    <w:p>
      <w:r>
        <w:t>GE Cour de justice, 2020-02-18, FR</w:t>
      </w:r>
    </w:p>
    <w:p>
      <w:r>
        <w:rPr>
          <w:b/>
        </w:rPr>
        <w:t xml:space="preserve">Quelle: </w:t>
      </w:r>
      <w:r>
        <w:t>https://mcp.opencaselaw.ch/entscheid/ge_gerichte_C_12223_2017</w:t>
      </w:r>
    </w:p>
    <w:p>
      <w:r>
        <w:t>FR: GE_GERICHTE C/12223/2017 du 18 février 2020</w:t>
      </w:r>
    </w:p>
    <w:p>
      <w:r>
        <w:t>IT: GE_GERICHTE C/12223/2017 del 18 febbraio 2020</w:t>
      </w:r>
    </w:p>
    <w:p>
      <w:pPr>
        <w:pStyle w:val="Heading2"/>
      </w:pPr>
      <w:r>
        <w:t>Regeste</w:t>
      </w:r>
    </w:p>
    <w:p>
      <w:r>
        <w:t>Cst.29.al2</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Ecrit et motivé, l'appel doit être introduit auprès de l'instance d'appel dans les 30 jours à compter de la notification de la décision motivée (art. art. 130, 131 et 311 al. 1 CPC). Que la cause soit soumise à la maxime des débats (art. 55 al. 1 CPC) ou à la maxime inquisitoire, il incombe à l'appelant de motiver son appel, c'est-à-dire de démontrer le caractère erroné de la décision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La motivation de l'appel constitue une condition de recevabilité, qui doit être examinée d'office. Lorsque l'appel est insuffisamment motivé, l'autorité cantonale n'entre pas en matière (ATF 141 III 569 consid. 2.3.3; 138 III 374 consid. 4.3.1; arrêt du Tribunal fédéral 5A_89/2014 du 15 avril 2014 consid. 5.3.2).</w:t>
      </w:r>
    </w:p>
    <w:p>
      <w:r>
        <w:rPr>
          <w:b/>
        </w:rPr>
        <w:t>E. 1.3</w:t>
      </w:r>
    </w:p>
    <w:p>
      <w:r>
        <w:t>En l'espèce, dans son acte d'appel, A______ formule des griefs précis s'agissant de la violation de son droit d'être entendu en reprochant au Tribunal de ne pas lui avoir donné l'occasion de s'exprimer par écrit, de ne pas lui avoir accordé la possibilité de répliquer et de n'avoir pas pris en considération qu'il plaidait en personne. En revanche, s'agissant du fond du litige, l'appelant se limite à présenter sa propre version des faits et son argumentation juridique sans critiquer de manière précise le jugement attaqué. La Cour n'entrera dès lors pas en matière sur le fond faute de motivation suffisante. L'appel est, partant, recevable dans la mesure du grief tiré de la violation de son droit d'être entendu.</w:t>
      </w:r>
    </w:p>
    <w:p>
      <w:r>
        <w:rPr>
          <w:b/>
        </w:rPr>
        <w:t>E. 2</w:t>
      </w:r>
    </w:p>
    <w:p>
      <w:r>
        <w:t>La Cour revoit la cause en fait et en droit avec un plein pouvoir d'examen, dans les limites posées par les maximes des débats et de disposition applicables au présent litige (art. 55 al. 1, 58 al.1 et 310 CPC).</w:t>
      </w:r>
    </w:p>
    <w:p>
      <w:r>
        <w:rPr>
          <w:b/>
        </w:rPr>
        <w:t>E. 3</w:t>
      </w:r>
    </w:p>
    <w:p>
      <w:r>
        <w:t>L'appelant allègue de nouveaux faits et produit de nouvelles pièces devant la Cour.</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l'espèce, les faits nouvellement allégués et les pièces nouvelles produites par l'appelant devant la Cour ne seront pas pris en considération, dès lors qu'ils auraient pu être soumis au premier juge et que l'appelant n'expose pas pour quelles raisons il aurait été empêché de le faire.</w:t>
      </w:r>
    </w:p>
    <w:p>
      <w:r>
        <w:rPr>
          <w:b/>
        </w:rPr>
        <w:t>E. 4</w:t>
      </w:r>
    </w:p>
    <w:p>
      <w:r>
        <w:t>L'appelant se prévaut d'une violation de son droit d'être entendu. Il reproche au Tribunal de ne pas lui avoir donné l'occasion de se déterminer par écrit dans le cadre des plaidoiries finales, de ne pas lui avoir accordé la possibilité de répliquer et de n'avoir pas pris en considération qu'il plaidait en personne.</w:t>
      </w:r>
    </w:p>
    <w:p>
      <w:r>
        <w:rPr>
          <w:b/>
        </w:rPr>
        <w:t>E. 4.1</w:t>
      </w:r>
    </w:p>
    <w:p>
      <w:r>
        <w:t>Selon l'art. 29 al. 2 Cst, les parties ont le droit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133 I 270 consid. 3.1; 132 II 485 consid. 3.2; 127 I 54 consid. 2b). Le droit d'être entendu comprend notamment le droit de l'intéressé à pouvoir se déterminer sur la cause avant le prononcé d'une décision qui l'affecte, en tout cas au moins sur le résultat de l'administration des preuves, lorsque celui-ci peut influencer l'issue de la procédure (Arrêt du Tribunal fédéral 4A_587/2018 du 16 avril 2019, consid. 2.2). Les parties ont le droit de se déterminer sur toute argumentation présentée au tribunal par la partie adverse,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toute prise de position ou pièce nouvelle versée au dossier doit être communiquée aux parties pour leur permettre de décider si elles veulent ou non faire usage de leur faculté de se déterminer (ATF 139 I 189 consid. 3.2).</w:t>
      </w:r>
    </w:p>
    <w:p>
      <w:r>
        <w:rPr>
          <w:b/>
        </w:rPr>
        <w:t>E. 4.2</w:t>
      </w:r>
    </w:p>
    <w:p>
      <w:r>
        <w:t>En l'espèce, le Tribunal a, à l'audience tenue le 29 avril 2019, procédé à l'interrogatoire des parties sollicité par l'appelant, puis a donné aux parties l'occasion de se déterminer sur cette mesure dans le cadre des plaidoiries finales orales. A cette occasion, les parties ont toutes deux plaidé. L'appelant a ainsi pu s'exprimer sur le résultat de l'administration des preuves, de sorte que son droit d'être entendu a été respecté. Il n'est, pour le surplus, pas fondé à faire valoir un droit à s'exprimer par écrit à l'issue de l'administration des preuves, les plaidoiries écrites n'étant ordonnées que si les parties renoncent d'un commun accord aux plaidoiries orales (art. 232 al. 2 CPC). L'appelant se plaint par ailleurs de n'avoir pu déposer d'écriture de réplique. Il avait toutefois l'opportunité de répliquer spontanément lorsque la réponse des intimés à sa demande reconventionnelle lui a été communiquée. Enfin, contrairement à ce que soutient l'appelant, le Tribunal n'a pas à veiller à ce que le plaideur en personne exerce utilement ses droits dans le cadre d'une procédure soumise aux maximes de disposition et des débats. Le premier juge n'avait, en particulier, pas à s'assurer que l'appelant comprenait les enjeux des règles de procédure, était en mesure de s'exprimer, de répondre aux allégués de sa partie adverse et de produire les pièces utiles dans des délais convenables. Le grief qu'il tire de la violation de son droit d'être entendu n'est ainsi pas fondé. Partant, le jugement entrepris sera confirmé.</w:t>
      </w:r>
    </w:p>
    <w:p>
      <w:r>
        <w:rPr>
          <w:b/>
        </w:rPr>
        <w:t>E. 5</w:t>
      </w:r>
    </w:p>
    <w:p>
      <w:r>
        <w:t>Les frais judiciaires d'appel seront arrêtés à 7'200 fr. (art. 95 al. 2, 105 al. 1, art. 13, 17 et 35 RTFMC), compensés avec l'avance fournie, qui reste acquise à l'Etat de Genève (art. 111 al. 1 CPC) et mis à la charge de l'appelant, qui succombe (art. 106 al. 1 CPC). Ce dernier sera condamné à verser 4'000 fr. aux intimés, solidairement entre eux, à titre de dépens d'appel (art. 95 al. 3 et 105 al. 2 CPC; art. 20 LaCC, 84, 85 et 90 RTFMC). PAR CES MOTIFS, La Chambre civile : A la forme : Déclare recevable l'appel interjeté par A______ contre le jugement JTPI/9539/2019 rendu le 27 juin 2019 par le Tribunal de première instance dans la cause C/12223/2017-2. Au fond : Confirme ce jugement. Déboute les parties de toutes autres conclusions. Sur les frais : Arrête les frais judiciaires d'appel à 7'200 fr., les met à la charge de A______, qui succombe et les compense avec l'avance de frais fournie, qui reste acquise à l'Etat de Genève. Condamne A______ à verser 4'000 fr. à B______ et C______, créanciers solidaires, à titre de dépens. Siégeant : Madame Ursula ZEHETBAUER GHAVAMI, présidente; Madame Sylvie DROIN et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