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C/12153/2021 vom 15. April 2024</w:t>
      </w:r>
    </w:p>
    <w:p>
      <w:r>
        <w:t>GE Cour de justice, 2024-04-15, FR</w:t>
      </w:r>
    </w:p>
    <w:p>
      <w:r>
        <w:rPr>
          <w:b/>
        </w:rPr>
        <w:t xml:space="preserve">Quelle: </w:t>
      </w:r>
      <w:r>
        <w:t>https://mcp.opencaselaw.ch/entscheid/ge_gerichte_C_12153_2021</w:t>
      </w:r>
    </w:p>
    <w:p>
      <w:r>
        <w:t>FR: GE_GERICHTE C/12153/2021 du 15 avril 2024</w:t>
      </w:r>
    </w:p>
    <w:p>
      <w:r>
        <w:t>IT: GE_GERICHTE C/12153/2021 del 15 aprile 2024</w:t>
      </w:r>
    </w:p>
    <w:p>
      <w:pPr>
        <w:pStyle w:val="Heading2"/>
      </w:pPr>
      <w:r>
        <w:t>Regeste</w:t>
      </w:r>
    </w:p>
    <w:p>
      <w:r>
        <w:t>CO.319; CO.18; CO.337c; CO.329d</w:t>
      </w:r>
    </w:p>
    <w:p>
      <w:pPr>
        <w:pStyle w:val="Heading2"/>
      </w:pPr>
      <w:r>
        <w:t>Erwägungen</w:t>
      </w:r>
    </w:p>
    <w:p>
      <w:r>
        <w:rPr>
          <w:b/>
        </w:rPr>
        <w:t>E. 4</w:t>
      </w:r>
    </w:p>
    <w:p>
      <w:r>
        <w:t>L'appelante conteste le caractère injustifié du licenciement retenu par le Tribunal ainsi que les montants alloués à ce titre. 4.1.1 L’employeur et le travailleur peuvent résilier immédiatement le contrat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et doit être admise de manière restrictive. Seul un manquement particulièrement grave peut justifier une telle mesure; si le manquement est moins grave, il ne peut entraîner une résiliation immédiate que s'il a été répété malgré un avertissement (ATF 137 III 303 consid. 2.1.1 ; 130 III 28 consid. 4.1; 129 III 380 consid. 2.1). Par manquement, on entend généralement la violation d'une obligation découlant du contrat de travail, mais d'autres incidents peuvent aussi justifier une telle mesure. Ce manquement doit être objectivement propre à détruire le rapport de confiance essentiel au contrat de travail ou, du moins, à l'atteindre si profondément que la continuation des rapports de travail ne peut raisonnablement être exigée. De surcroît, il doit avoir effectivement abouti à un tel résultat (ATF 142 III 579 consid. 4.2; 137 III 303 consid. 2.1.1; arrêt du Tribunal fédéral 4A_595/2018 du 22 janvier 2020 consid. 3.1). Selon l'art. 8 CC, il appartient à la partie qui se prévaut de justes motifs d'une résiliation immédiate d'apporter la preuve de leur existence (ATF 130 III 213 consid. 3.2). 4.1.2 Aux termes de l'art. 337c al. 1 CO, lorsque la résiliation immédiate du contrat est injustifiée, le travailleur a droit à ce qu’il aurait gagné si les rapports de travail avaient pris fin à l’expiration du délai de congé ou à la cessation du contrat conclu pour une durée déterminée. Lorsque le salaire est variable, par exemple en cas de rémunération à la commission, de participation au chiffre d’affaires ou de variation du temps de travail, il convient de fixer l’indemnité en fonction des valeurs moyennes obtenues par le passé. Il sied de déterminer le plus exactement et le plus concrètement possible ce que le travailleur aurait réellement gagné s'il avait été licencié de façon ordinaire et s’il avait continué à travailler pendant le délai de résiliation (ATF 125 III 14 consid. 2b; arrêts du Tribunal fédéral 4A_544/2015 du 17 mars 2016 consid. 2.1; 4A_556/2012 du 9 avril 2013 consid. 6.1 et les références citées; Wyler/Heinzer, Droit du travail, 4 ème éd. 2019, pp. 761 s.; Bruchez/Mangol/Schwaab, in Commentaire du contrat de travail, 4 ème ed. 2019, n. 2 ad art. 337c CO, p. 428). L'indemnité de remplacement allouée au sens de l'art. 337c al. 1 CO est de nature salariale et donne lieu à la perception de cotisations sociale (Wyler/ Heinzer, op. cit., p. 762). Le juge peut, en outre, allouer au travailleur une indemnité dont il fixera librement le montant, en tenant compte de toutes les circonstances, mais sans dépasser l'équivalent de six mois de salaire (art. 337c al. 3 CO).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Sauf cas exceptionnel, elle doit être versée pour tout licenciement immédiat dénué de justes motifs (ATF 135 III 405 consid. 3.1; arrêt du Tribunal fédéral 4A_173/2018 du 29 janvier 2019 consid. 5.1).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Statuant selon les règles du droit et de l'équité (art. 4 CC), le juge dispose d'un large pouvoir d'appréciation (arrêts du Tribunal fédéral 4A_173/2018 du 29 janvier 2019 consid. 5.1; 4A_161/2016 du 13 décembre 2016 consid. 3.1).</w:t>
      </w:r>
    </w:p>
    <w:p>
      <w:r>
        <w:rPr>
          <w:b/>
        </w:rPr>
        <w:t>E. 4.2</w:t>
      </w:r>
    </w:p>
    <w:p>
      <w:r>
        <w:t>En l'espèce, le Tribunal, après avoir considéré le licenciement comme étant injustifié, a alloué à l'intimée les montants de 8'679 fr. 95 afférent à son délai de congé et de 8'004 fr. 20 à titre d'indemnité.</w:t>
      </w:r>
    </w:p>
    <w:p>
      <w:r>
        <w:rPr>
          <w:b/>
        </w:rPr>
        <w:t>E. 4.2.1</w:t>
      </w:r>
    </w:p>
    <w:p>
      <w:r>
        <w:t>L'appelante a motivé le congé immédiat par le fait que l'intimée avait dispensé trois consultations payantes par téléphone durant son arrêt de travail. Il sied toutefois de relever que ces consultations s'inscrivaient dans le suivi de patients fragiles pris en charge par l'intimée. Par ailleurs, cette dernière avait expressément averti l'appelante, dans son courrier du 8 mars 2021, qu'elle restait disponible pour ses patients les plus vulnérables durant son arrêt de travail, sans que l'appelante ne soulève la moindre réserve à ce sujet. Au vu de la relation de confiance entre un psychologue et son patient, l'on peut comprendre qu'il n'était pas aisé pour l'intimée de se faire remplacer. Son comportement était dicté par le bien-être des patients, faisant preuve d'une conscience professionnelle et d'engagement thérapeutique envers ces derniers, et en aucun cas pour porter préjudice aux intérêts de l'appelante, ce que celle-ci ne prétend au demeurant pas. Dans ce contexte, on ne saurait objectivement retenir que l'intimée ait agi de manière à rompre irrémédiablement tout lien de confiance avec l'appelante et ainsi justifier un congé immédiat, sans aucun avertissement préalable. Le licenciement immédiat du 30 mars 2021 s'avère ainsi injustifié Infondé, l'appel sera rejeté à cet égard.</w:t>
      </w:r>
    </w:p>
    <w:p>
      <w:r>
        <w:rPr>
          <w:b/>
        </w:rPr>
        <w:t>E. 4.2.2</w:t>
      </w:r>
    </w:p>
    <w:p>
      <w:r>
        <w:t>L'intimée a, par conséquent, droit à ce que qu'elle aurait perçu jusqu'à l'expiration de son délai de congé, pouvant ainsi prétendre au paiement de son salaire du mois d'avril. Il est en effet admis à ce stade qu'elle a perçu la rémunération due pour son activité jusqu'à son licenciement intervenu le 30 mars 2021 et qu'elle a retrouvé un emploi dès le 1 er mai 2021. Pour calculer le montant dû, le Tribunal s'est fondé sur le revenu moyen réalisé par l'intimée entre le 1 er janvier et le 8 mars 2021, date à laquelle elle est tombée en incapacité de travail. En tenant compte des montants de 734 fr. 90 et 17'674 fr. 70 versés par l'appelante à l'intimée pour cette période, le Tribunal a retenu un salaire moyen de 8'004 fr. 20 ([734 fr. 90 + 17'674 fr. 70] / 2.3 mois), auquel s'ajoutait une indemnité de vacances de 666 fr. 75 (8'004 fr. 20 x 8.33 %), soit un montant total de 8'679 fr. 95, lequel s'entendait en brut. Cette manière de procéder est exempte de toute critique. Elle tient compte des montants encaissés par l'appelante pour l'activité de l'intimée, après perception de sa propre rémunération pour son activité de supervision. Les montants encaissés par l'appelante par la Caisse des médecins représentent ainsi la rémunération brute à laquelle peut prétendre l'intimée, avant déduction des charges sociales, ce qui n'est en soi pas contesté par l'appelante. L'appelante soutient en revanche que les montants de 17'674 fr. 70 et 734 fr. 90 ont été reversés à l'intimée dans une logique où cette dernière était une indépendante qui assumait l'entier de ses charges. Dans la mesure où l'existence d'un contrat de travail a été retenue, l'appelante se voit contrainte de régler les cotisations sociales. Selon elle, le salaire moyen devrait dès lors être arrêté à 6'163 fr. (77% de 8'004 fr. 20) afin de tenir compte des déductions liées aux cotisations sociales, sous peine pour elle de subir un déficit. L'appelante ne peut être suivie à plus d'un titre. D'une part, il ressort du décompte de salaire du 21 mars 2021 que, sur le montant de 734 fr. 90, elle a au final versé la somme nette de 681 fr. en faveur de l'intimée, après avoir procédé aux déductions des cotisations sociales. D'autre part, le fait qu'elle n'ait pas procédé de la sorte sur le second montant de 17'674 fr. 70 n'est pas déterminant pour arrêter la rémunération brute moyenne de l'intimée. Enfin, l'appelante ne saurait tirer avantage du fait qu'elle n'a pas procédé aux déductions de cotisations sur ce dernier montant alors que la procédure était pendante et qu'elle savait que l'intimée se prévalait de l'existence d'un contrat de travail et des expectatives y relatives. Partant, contrairement à ce qu'elle soutient, il n'y a pas lieu de porter en déduction lesdites cotisations sociales pour arrêter le montant dû en faveur de l'intimée puisque l'indemnité de remplacement allouée à cette dernière, de nature salariale, est exprimée en somme brute. C'est donc à bon droit que le Tribunal a condamné l'appelante à verser la somme brute de 8'679 fr. 95, incluant les vacances, en faveur de l'intimée afférent à son délai de congé.</w:t>
      </w:r>
    </w:p>
    <w:p>
      <w:r>
        <w:rPr>
          <w:b/>
        </w:rPr>
        <w:t>E. 4.2.3</w:t>
      </w:r>
    </w:p>
    <w:p>
      <w:r>
        <w:t>S'agissant de l'indemnité au sens de l'art. 337c al. 3 CO, le Tribunal a considéré qu'un montant correspondant à un mois de salaire était justifié, ce qui paraît adéquat compte tenu des circonstances d'espèce, en particulier l'absence de juste-motif, le comportement de l'appelante ainsi que de la courte durée des rapports de travail et du fait que la situation financière de l'intimée n'a pas été durablement impactée par son licenciement immédiat dès lors qu'elle a rapidement retrouvé un emploi. Quoi qu'en dise l'appelante, il n'y a pas lieu d'exclure toute indemnité vu les circonstances d'espèce ce qui conduirait notamment à vider de toute substance le caractère punitif de l'indemnité. Le montant de 8'004 fr. 20 correspondant au salaire mensuel moyen de l'intimée, sans indemnité de vacances, sera donc confirmé.</w:t>
      </w:r>
    </w:p>
    <w:p>
      <w:r>
        <w:rPr>
          <w:b/>
        </w:rPr>
        <w:t>E. 5</w:t>
      </w:r>
    </w:p>
    <w:p>
      <w:r>
        <w:t>Le Tribunal a condamné l'appelante à verser 2'000 fr. 25 à l'appelante à titre de vacances non prises.</w:t>
      </w:r>
    </w:p>
    <w:p>
      <w:r>
        <w:rPr>
          <w:b/>
        </w:rPr>
        <w:t>E. 5.1</w:t>
      </w:r>
    </w:p>
    <w:p>
      <w:r>
        <w:t>Selon l'art. 329a al. 1 CO, l'employeur accorde au travailleur, chaque année de service, quatre semaines de vacances au moins et cinq semaines au moins aux travailleurs jusqu'à l'âge de 20 ans révolus. Cette disposition est de nature relativement impérative (art. 362 CO). Les vacances sont fixées proportionnellement à la durée des rapports de travail lorsque l'année de service n'est pas complète (art. 329a al. 3 CO). Conformément à l'art. 329d al. 1 CO, l’employeur verse au travailleur le salaire total afférent aux vacances et une indemnité équitable en compensation du salaire en nature. Pour calculer le salaire afférent aux vacances annuelles, les taux habituellement retenus sont de 8.33% du salaire annuel brut pour quatre semaines de vacances annuelles, 10.64% de ce même salaire pour cinq semaines de vacances annuelles, 13.04% pour six semaines de vacances annuelles (Wyler/Heinzer, op.cit., p. 506; Cerottini, in Commentaire du contrat de travail, 2013, n. 7 ad art. 329d CO, p. 408).</w:t>
      </w:r>
    </w:p>
    <w:p>
      <w:r>
        <w:rPr>
          <w:b/>
        </w:rPr>
        <w:t>E. 5.2</w:t>
      </w:r>
    </w:p>
    <w:p>
      <w:r>
        <w:t>En l'espèce, il n'est pas contesté que l'intimée a droit au paiement de vacances non prises pour la période du 1 er janvier au 31 mars 2020, équivalant à 8.33% de son salaire. L'appelante fait valoir à ce titre un montant de 1'540 fr. (6'163 fr. x 8.33% x 3 mois) en lieu et place du montant de 2000 fr. 25. Elle part toutefois d'une prémisse erronée selon laquelle le salaire à prendre en compte serait de 6'163 fr., alors que, comme vu au considérant précédent, le revenu mensuel brut moyen de l'appelante doit être fixé à 8'004 fr. 20. Ce grief doit par conséquent être rejeté.</w:t>
      </w:r>
    </w:p>
    <w:p>
      <w:r>
        <w:rPr>
          <w:b/>
        </w:rPr>
        <w:t>E. 6</w:t>
      </w:r>
    </w:p>
    <w:p>
      <w:r>
        <w:t>L'appelante invoque la compensation à plusieurs reprises pour s'opposer ou réduire les montants dus à l'intimée.</w:t>
      </w:r>
    </w:p>
    <w:p>
      <w:r>
        <w:rPr>
          <w:b/>
        </w:rPr>
        <w:t>E. 6.1</w:t>
      </w:r>
    </w:p>
    <w:p>
      <w:r>
        <w:t>Selon l'art. 120 al. 1 CO, lorsque deux personnes sont débitrices l'une envers l'autre de sommes d'argent ou d'autres prestations de même espèce, chacune des parties peut compenser sa dette avec sa créance, si les deux dettes sont exigibles. Le débiteur doit faire connaître au créancier son intention d'invoquer la compensation (art. 124 al. 1 CO). La compensation étant une objection, et non une exception, elle peut être invoquée en tout temps, même en cours de procès (ATF 95 II 235 , JdT 1970 I 245; arrêts du Tribunal fédéral 4C.90/2005 du 22 juin 2005 consid. 4 et 4C_191/2001 du 15 janvier 2002 consid. 4a). Cela étant, elle nécessite une déclaration de compensation, qui constitue un allégué de fait, de sorte que la partie qui s'en prévaut doit respecter les conditions des art. 229 et 317 CPC pour que son objection soit prise en compte dans le jugement (Peter, in Basler Kommentar, Obligationenrecht I, 7ème éd. 2020, n. 2 ad vor Art. 120-126 CO). Ainsi, lorsque la déclaration de compensation n'a pas été signifiée par le défendeur avant la litispendance (auquel cas, il faut l'alléguer et la prouver comme n'importe quelle communication d'une partie à l'autre antérieure au procès), elle peut encore être opérée par une affirmation en procédure pour autant toutefois qu'elle intervienne à un stade permettant encore d'invoquer des faits nouveaux (arrêts du Tribunal fédéral 4A_364/2022 du 12 mai 2023 consid. 4.3 et les références citées; 4A_435/2015 du 14 janvier 2016 consid. 2.6).</w:t>
      </w:r>
    </w:p>
    <w:p>
      <w:r>
        <w:rPr>
          <w:b/>
        </w:rPr>
        <w:t>E. 6.2</w:t>
      </w:r>
    </w:p>
    <w:p>
      <w:r>
        <w:t>En l'espèce, l'appelante invoque, subsidiairement, qu'en versant le montant de 18'409 fr. 60 (17'674 fr. 70 + 734 fr. 90) en mains de l'appelante sans avoir procédé aux déductions sociales, cette dernière a touché un trop-perçu de l'ordre de 2'694 fr. 60. Elle entend compenser ce montant avec l'indemnité pour licenciement immédiat ou l'indemnité pour les vacances. La question de savoir si l'intimée a bénéficié d'un excédent peut en l'état rester indécise dès lors que le grief sur la compensation est voué à l'échec. En effet, il n'existe de trace, que ce soit avant la présente procédure ou pendant celle-ci, d'une volonté de compenser une éventuelle créance de l'appelante. Aucune mention à cet égard n'a été formulée dans les diverses écritures de première instance de l'appelante, ni lors des audiences tenues devant le Tribunal. Le simple fait de contester les allégations relatives aux prétentions salariales et de préconiser le rejet des conclusions adverses ne saurait s'interpréter comme une déclaration de compensation. L'appelante ne saurait pallier ce défaut d'allégation au stade de l'appel, ce d'autant plus qu'elle ne se prévaut d'aucun fait nouveau à son appui. En l'absence d'une telle déclaration, aucune compensation ne sera opérée.</w:t>
      </w:r>
    </w:p>
    <w:p>
      <w:r>
        <w:rPr>
          <w:b/>
        </w:rPr>
        <w:t>E. 7</w:t>
      </w:r>
    </w:p>
    <w:p>
      <w:r>
        <w:t>En définitive, l'appel s'avère infondé et sera rejeté dans son intégralité.</w:t>
      </w:r>
    </w:p>
    <w:p>
      <w:r>
        <w:rPr>
          <w:b/>
        </w:rPr>
        <w:t>E. 8</w:t>
      </w:r>
    </w:p>
    <w:p>
      <w:r>
        <w:t>Lorsque la valeur litigieuse est inférieure à 50'000 fr. devant la Cour de justice, la procédure est gratuite (art. 116 CPC; art 19 al. 3 let. c LaCC et art. 71 a contrario RTFMC). Aucun frais judiciaire ne sera donc prélevé. Selon l’art. 22 al. 2 LaCC, il n’est pas alloué de dépens ni d’indemnité pour la représentation en justice dans les causes soumises à la juridiction des prud’hommes. Aucun dépens ne sera alloué. * * * * * PAR CES MOTIFS, La Chambre des prud'hommes : A la forme : Déclare recevable l'appel interjeté le 28 août 2023 par A______ contre le jugement JTPH/205/2023 rendu le 26 juin 2023 dans la cause C/12153/2021. Au fond : Confirme ce jugement. Déboute les parties de toutes autres conclusions. Sur les frais d'appel : Dit que la procédure est gratuite et qu’il n’est perçu aucun frais judiciaire. Dit qu'il n’est pas alloué de dépens. Siégeant : Monsieur Laurent RIEBEN, président; Madame Monique FLÜCKIGER, Monsieur Michael RUDERMANN,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