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C/11995/2017 vom 22. Dezember 2017</w:t>
      </w:r>
    </w:p>
    <w:p>
      <w:r>
        <w:t>GE Cour de justice, 2017-12-22, FR</w:t>
      </w:r>
    </w:p>
    <w:p>
      <w:r>
        <w:rPr>
          <w:b/>
        </w:rPr>
        <w:t xml:space="preserve">Quelle: </w:t>
      </w:r>
      <w:r>
        <w:t>https://mcp.opencaselaw.ch/entscheid/ge_gerichte_C_11995_2017</w:t>
      </w:r>
    </w:p>
    <w:p>
      <w:r>
        <w:t>FR: GE_GERICHTE C/11995/2017 du 22 décembre 2017</w:t>
      </w:r>
    </w:p>
    <w:p>
      <w:r>
        <w:t>IT: GE_GERICHTE C/11995/2017 del 22 dicembre 2017</w:t>
      </w:r>
    </w:p>
    <w:p>
      <w:pPr>
        <w:pStyle w:val="Heading2"/>
      </w:pPr>
      <w:r>
        <w:t>Regeste</w:t>
      </w:r>
    </w:p>
    <w:p>
      <w:r>
        <w:t>AVANCE DE FRAIS; FRAIS JUDICIAIRES</w:t>
      </w:r>
    </w:p>
    <w:p>
      <w:pPr>
        <w:pStyle w:val="Heading2"/>
      </w:pPr>
      <w:r>
        <w:t>Volltext</w:t>
      </w:r>
    </w:p>
    <w:p>
      <w:r>
        <w:t>Genf Cour de Justice (Cour civile) Chambre civile 09.04.2018 C/11995/2017 Genève Cour de Justice (Cour civile) Chambre civile 09.04.2018 C/11995/2017 Ginevra Cour de Justice (Cour civile) Chambre civile 09.04.2018 C/11995/2017</w:t>
      </w:r>
    </w:p>
    <w:p>
      <w:r>
        <w:t>C/11995/2017 ACJC/430/2018 du 09.04.2018 sur DTPI/15760/2017 ( OO ) , CONFIRME Descripteurs : AVANCE DE FRAIS; FRAIS JUDICIAIRES Par ces motifs RÉPUBLIQUE ET CANTON DE GENÈVE POUVOIR JUDICIAIRE C/11995/2017 ACJC/430/2018 ARRÊT DE LA COUR DE JUSTICE Chambre civile du LUNDI 9 AVRIL 2018 Entre A______ , domiciliée ______ (Pays-Bas), recourante contre une décision rendue par la 13ème Chambre du Tribunal de première instance de ce canton le 22 décembre 2017, comparant par Me Patrick Spinedi, avocat, rue Bovy-Lysberg 8, 1204 Genève, en l'étude duquel elle fait élection de domicile. Attendu, EN FAIT , que A______, société à responsabilité limitée des Pays-Bas au capital de 18'000 EUR, a été assignée par une société B______ en paiement d'une somme de 200'714 fr. 40 à Genève, à laquelle une avance de frais de 10'000 fr. a été requise; Qu'elle a répondu à la demande et formée une demande reconventionnelle à hauteur de "131'395, 277 frs" (sic !) pour dommages et intérêts; Que le Tribunal a requis de cette dernière une avance de frais à hauteur de 12'000 fr. par décision du 22 décembre 2017; Que par acte déposé au greffe de la Cour le 11 janvier 2018, A______ forme recours contre cette décision concluant à son annulation et à sa dispense de toute avance de frais, alternativement à la fixation d'une avance de 5'000 fr. au maximum, et subsidiairement, au renvoi de la cause au Tribunal pour nouvelle décision; Qu'elle considère, en substance, que le Tribunal a violé son pouvoir d'appréciation dans le cadre de la fixation de l'avance de frais contestée du fait que l'avance requise est supérieure à celle requise par le Tribunal à la demanderesse principale, alors que la valeur litigieuse de ladite demande est nettement supérieure à celle de sa demande reconventionnelle, qu'elle est une petite société à responsabilité limitée dont le capital social est de peu supérieur au montant de l'avance requise, et que le principe de l'équivalence n'a pas été respecté; Qu'invité à se déterminer sur le recours, le Tribunal a conclu à la confirmation de la décision attaquée, la fourchette prévue par le règlement étant respectée; Considérant, EN DROIT , que la décision d'avance de frais peut faire l'objet d'un recours (art. 103 CPC); Que le recours, interjeté dans le délai prescrit et selon la forme requise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la demande reconventionnelle donne lieu à un émolument au même titre qu'une demande principale (art. 14 RTFMC);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l'avance de frais requise se trouve dans la fourchette prévue par le tarif des greffes; Qu'elle correspond aux frais prévisibles de la procédure et donc se trouve en adéquation avec le principe de l'équivalence; Que l'on ne voit dès lors aucun abus du pouvoir d'appréciation de la part du Tribunal à la fixation de ladite avance de frais; Qu'il ne peut pas être tiré argument du montant réclamé à la demanderesse principale, la taxation des demandes étant indépendante; Que le recours sera dès lors rejeté; Que vu l'issue du litige, les frais judiciaires de recours, arrêtés à 600 fr. et comprenant ceux de la décision sur effet suspensif, seront mis à la charge de la recourante, qui succombe, et compensés entièrement avec l'avance de frais payée. * * * * * PAR CES MOTIFS, La Chambre civile : A la forme : Déclare recevable le recours interjeté le 11 janvier 2018 par A______ contre la décision DTPI/15760/2017 rendue le 22 décembre 2017 par le Tribunal de première instance dans la cause C/11995/2017-13. Au fond : Rejette ce recours. Sur les frais : Arrête les frais judiciaires du recours à 600 fr., les met à la charge de la recourante et les compense avec l'avance de frais déjà versée, laquelle reste acquise à l'Etat de Genève. Siégeant : Monsieur Laurent RIEBEN, président; Monsieur Cédric-Laurent MICHEL et Madame Ursula ZEHETBAUER GHAVAMI, juges; Madame Camille LESTEVEN, greffière. Le président : Laurent RIEBEN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