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C/11929/2017 vom 10. August 2017</w:t>
      </w:r>
    </w:p>
    <w:p>
      <w:r>
        <w:t>GE Cour de justice, 2017-08-10, FR</w:t>
      </w:r>
    </w:p>
    <w:p>
      <w:r>
        <w:rPr>
          <w:b/>
        </w:rPr>
        <w:t xml:space="preserve">Quelle: </w:t>
      </w:r>
      <w:r>
        <w:t>https://mcp.opencaselaw.ch/entscheid/ge_gerichte_C_11929_2017</w:t>
      </w:r>
    </w:p>
    <w:p>
      <w:r>
        <w:t>FR: GE_GERICHTE C/11929/2017 du 10 août 2017</w:t>
      </w:r>
    </w:p>
    <w:p>
      <w:r>
        <w:t>IT: GE_GERICHTE C/11929/2017 del 10 agosto 2017</w:t>
      </w:r>
    </w:p>
    <w:p>
      <w:pPr>
        <w:pStyle w:val="Heading2"/>
      </w:pPr>
      <w:r>
        <w:t>Regeste</w:t>
      </w:r>
    </w:p>
    <w:p>
      <w:r>
        <w:t>NOTIFICATION ÉCRITE ; DOMICILE ÉLU ; RÉSILIATION ; ÉVACUATION(EN GÉNÉRAL) ; CAS CLAIR | CPC.257; CO.257d; LDTR</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4A_72/2007 du 22 août 2007 consid. 2; 4C.310/1996 du 16 avril 1997 = SJ 1997 p. 493 consid. 1).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 4A_622/2013 du 26 mai 2014 consid. 2; 4A_273/2012 du 30 octobre 2012 consid. 1.2.2, non publié in ATF 138 III 620 ).</w:t>
      </w:r>
    </w:p>
    <w:p>
      <w:r>
        <w:rPr>
          <w:b/>
        </w:rPr>
        <w:t>E. 1.2</w:t>
      </w:r>
    </w:p>
    <w:p>
      <w:r>
        <w:t>En l'espèce, le loyer mensuel du logement, charges comprises, s'élève à 3'942 fr., de sorte que la valeur litigieuse est largement supérieure à 10'000 fr. (3'942 fr. x 9 = 35'478 fr.). La voie de l'appel est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Procédure civile suisse, Les grands thèmes pour les praticiens. Neuchâtel 2010, p. 349 ss, n. 121).</w:t>
      </w:r>
    </w:p>
    <w:p>
      <w:r>
        <w:rPr>
          <w:b/>
        </w:rPr>
        <w:t>E. 1.5</w:t>
      </w:r>
    </w:p>
    <w:p>
      <w:r>
        <w:t>Selon l'art. 121 al. 2 LOJ, dans les causes fondées sur les art. 257d et 282 CO, la Chambre des baux et loyers de la Cour siège sans assesseurs.</w:t>
      </w:r>
    </w:p>
    <w:p>
      <w:r>
        <w:rPr>
          <w:b/>
        </w:rPr>
        <w:t>E. 2</w:t>
      </w:r>
    </w:p>
    <w:p>
      <w:r>
        <w:t>La nature particulière de la procédure sommaire de protection dans les cas clairs de l'art. 257 al. 1 CPC impose à l'autorité d'appel d'évaluer les faits sur la base des preuves déjà appréciées par le premier juge. La production de pièces nouvelles, même de celles qui pourraient être prises en considération selon l'art. 317 al. 1 CPC, est exclue (arrêts du Tribunal fédéral 4A_312/2013 du 17 octobre 2013 consid. 3.1, 4A_429/2012 du 7 novembre 2012 consid. 5). Ainsi, les pièces nouvelles des parties sont irrecevables.</w:t>
      </w:r>
    </w:p>
    <w:p>
      <w:r>
        <w:rPr>
          <w:b/>
        </w:rPr>
        <w:t>E. 3</w:t>
      </w:r>
    </w:p>
    <w:p>
      <w:r>
        <w:t>L'appelante fait grief au Tribunal d'avoir considéré que le cas n'était pas clair. Elle lui reproche une appréciation inexacte des faits pertinents, pour avoir retenu que l'intimée avait fait élection de domicile chez son conseil également pour la procédure d'évacuation pour défaut de paiement. Elle fait valoir une violation de l'art. 257 CPC, au motif que les art. 266l et 266o CO n'érigent pas en condition de validité d'une résiliation du contrat de bail l'exigence qu'elle soit notifiée au domicile élu du locataire. Aucune disposition contractuelle n'imposait non plus une telle notification. La doctrine citée par le Tribunal à l'appui de son raisonnement visait une autre situation. De toute façon, la mauvaise foi de la locataire devait être retenue. Il était clair que l'intimée n'avait pas payé les montants réclamés ni fait valoir la compensation dans le délai comminatoire.</w:t>
      </w:r>
    </w:p>
    <w:p>
      <w:r>
        <w:rPr>
          <w:b/>
        </w:rPr>
        <w:t>E. 3.1</w:t>
      </w:r>
    </w:p>
    <w:p>
      <w:r>
        <w:t>3.1.1 Aux termes de l'art. 257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Il peut être procédé par cette voie pour l'expulsion de locataires (ATF 139 III 38 consid. 2.5.3).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w:t>
      </w:r>
    </w:p>
    <w:p>
      <w:r>
        <w:rPr>
          <w:b/>
        </w:rPr>
        <w:t>E. 3.1.2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 La jurisprudence admet que le congé prononcé conformément à l'art. 257d CO peut, à titre très exceptionnel, contrevenir aux règles de la bonne foi; la notion doit être interprétée très restrictivement, afin de ne pas mettre en question le droit du bailleur à recevoir le loyer à l'échéance. L'annulation entre en considération notamment dans les cas suivants : le bailleur a réclamé au locataire, avec menace de résiliation du bail, une somme largement supérieure à celle en souffrance, alors qu'il n'était pas certain du montant effectivement dû; ou encore, l'arriéré est insignifiant, ou a été réglé très peu de temps après l'expiration du délai comminatoire, alors que le locataire s'était jusque-là toujours acquitté du loyer à temps; ou enfin, le bailleur ne résilie le contrat que longtemps après l'expiration de ce même délai. Le fardeau de la preuve d'un congé contraire à la bonne foi incombe au demandeur à l'action en annulation (ATF 140 III 591 consid. 1). L'annulation du congé doit rester une ultima ratio dans le cas du locataire qui ne paie pas son loyer (arrêt du Tribunal fédéral 4A_252/2014 du 28 mai 2014 consid. 4.2).</w:t>
      </w:r>
    </w:p>
    <w:p>
      <w:r>
        <w:rPr>
          <w:b/>
        </w:rPr>
        <w:t>E. 3.1.3</w:t>
      </w:r>
    </w:p>
    <w:p>
      <w:r>
        <w:t>En principe, les correspondances entre parties au bail doivent intervenir à l'adresse de notification mentionnée sur le bail. Faute de mention ou circonstance particulière, l'adresse de l'objet loué comme habitation ou locaux commerciaux peut généralement être retenue comme lieu de notification, compte tenu d'une interprétation objective des déclarations de volonté des parties selon le principe de la confiance. L'acte est en effet réputé notifié en matière conventionnelle lorsqu'il entre dans la sphère d'influence du destinataire (demeure ou domicile professionnel), qu'il lui soit remis ou déposé dans sa boîte aux lettres ou sa case postale. Lorsque le destinataire n'est plus atteignable à l'adresse mentionnée sur le bail, si l'auteur de l'acte ne dispose d'aucune information lui permettant de déterminer le lieu où le destinataire peut être atteint, la communication peut se faire à ladite adresse, puisque le dépôt dans la boîte aux lettres signifie que le pli entre dans la sphère d'influence du locataire. En revanche, si le bailleur sait le locataire absent et connaît avec précision le lieu où il peut être atteint (suite à une information de sa part ou de toute autre manière), c'est à ce lieu que la notification doit intervenir. A défaut, le bailleur qui se prévaudrait d'une notification dans de telles circonstances abuserait de son droit (art. 2 al. 2 CC) (Bohnet, Bail et notification viciée (arrêt du Tribunal fédéral 4A_74/2011 du 2 mai 2011), Newsletter Bail.ch, juillet 2011).</w:t>
      </w:r>
    </w:p>
    <w:p>
      <w:r>
        <w:rPr>
          <w:b/>
        </w:rPr>
        <w:t>E. 3.1.4</w:t>
      </w:r>
    </w:p>
    <w:p>
      <w:r>
        <w:t>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p. 248; arrêt 4C.212/2006 du 28 septembre 2006 consid. 3.1.1, in CdB 2007 22). La créance en question doit être exigible. Le risque d'une résiliation anticipée du bail est réduit à néant si le locataire se prévaut à son profit d'une reconnaissance de dette signée du bailleur ou d'un jugement, qui attestent l'existence et le montant de la créance compensante (Bohnet/Montini, Commentaire pratique, 2 ème éd., 2017, n. 29 ad art. 257d CO).</w:t>
      </w:r>
    </w:p>
    <w:p>
      <w:r>
        <w:rPr>
          <w:b/>
        </w:rPr>
        <w:t>E. 3.1.5</w:t>
      </w:r>
    </w:p>
    <w:p>
      <w:r>
        <w:t>La Cour de céans a déjà eu l'occasion de se déterminer sur le sort des loyers dépassant le maximum autorisé par l'Etat, en application de la LDTR ou de la législation relative à la zone de développement. Lorsque les parties fixent contractuellement un loyer supérieur à celui admis par l'administration compétente, le contrat renferme une disposition contraire à la loi et est frappé de nullité partielle en vertu de l'art. 20 CO. Le locataire dispose dès lors d'une créance en remboursement fondée sur l'enrichissement illégitime et portant sur la différence entre le montant autorisé et le montant perçu par le bailleur (ACJ n° 455 du 18 mars 1994, G.G. c/ P.S., consid. 4-6, et ACJ n° 259/96 du 25 mars 1996, consid. 3). Ces arrêts cantonaux font eux-mêmes référence à l'ATF 93 II 97 , par lequel les juges fédéraux sont parvenus à la même conclusion dans le cas d'un fermage excédant celui autorisé par l'autorité compétente en matière de contrôle des fermages agricoles ( ACJC/1527/2009 du 11 décembre 2012, consid. 4.2).</w:t>
      </w:r>
    </w:p>
    <w:p>
      <w:r>
        <w:rPr>
          <w:b/>
        </w:rPr>
        <w:t>E. 3.2</w:t>
      </w:r>
    </w:p>
    <w:p>
      <w:r>
        <w:t>En l'espèce, la sommation et l'avis de résiliation ont été adressés à la locataire, à l'adresse du bail, conformément aux CG. Cependant, les nombreux courriers de mise en demeure précédents adressés à cette adresse par recommandé ont été retournés à la bailleresse comme non réclamés. L'appelante savait que la locataire avait constitué un avocat et fait élection de domicile en son Etude, suite à la prétendue sous-location de l'appartement. S'il est vrai que cette élection était limitée à "cette affaire", la majorité des plis recommandés envoyés par l'appelante à l'intimée à l'adresse du bail n'ont pas été retirés, de sorte qu'en application des principes susmentionnés, la validité de la notification de la sommation et de l'avis de résiliation peut se poser, en particulier sous l'angle de la bonne foi, tant de l'appelante que de l'intimée. Il est admis que l'intimée a payé la presque totalité du montant réclamé dans le délai comminatoire. Restait due une somme de 400 fr., y compris 50 fr. de frais administratifs. Or, dans ce délai, la bailleresse elle-même a reconnu devoir à l'intimée une somme deux fois supérieure à celle restant due. Là encore, bien que la locataire n'ait pas formellement invoqué la compensation dans le délai comminatoire (mais seulement dans le cadre de son appel) avec une créance admise par la bailleresse et exigible, se pose la question de la validité de la résiliation sous l'angle de la bonne foi de l'appelante. Enfin, la nullité partielle du contrat au regard de la procédure administrative en cours ne saurait être exclue. Se poserait alors la question de la validité de la mise en demeure et de la résiliation, sous l'angle du montant réclamé. Dès lors, au vu des particularités du cas d'espèce, l'examen de la bonne foi de l'une ou l'autre des parties devait être examinée, ce qui implique l'exercice d'un certain pouvoir d'appréciation par le juge et exclut l'application de la procédure du cas clair. Il n'est pas non plus acquis, compte tenu de la procédure administrative pendante, que le montant réclamé dans l'avis comminatoire était dû. C'est ainsi à bon droit que le Tribunal a considéré que le cas n'était pas clair et déclaré la requête irrecevable. Le jugement sera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28 août 2017 par A______ contre le jugement JTBL/731/2017 rendu le 10 août 2017 par le Tribunal des baux et loyers dans la cause C/11929/2017. Au fond : Confirme ce jugement. Dit que la procédure est gratuite. Déboute les parties de toutes autres conclusions. Siégeant : Monsieur Ivo BUETTI, président; Madame Pauline ERARD, Madame Fabienne GEISINGER-MARIETHOZ, juges;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