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C/1189/2016 vom 28. November 2016</w:t>
      </w:r>
    </w:p>
    <w:p>
      <w:r>
        <w:t>GE Cour de justice, 2016-11-28, FR</w:t>
      </w:r>
    </w:p>
    <w:p>
      <w:r>
        <w:rPr>
          <w:b/>
        </w:rPr>
        <w:t xml:space="preserve">Quelle: </w:t>
      </w:r>
      <w:r>
        <w:t>https://mcp.opencaselaw.ch/entscheid/ge_gerichte_C_1189_2016</w:t>
      </w:r>
    </w:p>
    <w:p>
      <w:r>
        <w:t>FR: GE_GERICHTE C/1189/2016 du 28 novembre 2016</w:t>
      </w:r>
    </w:p>
    <w:p>
      <w:r>
        <w:t>IT: GE_GERICHTE C/1189/2016 del 28 novembre 2016</w:t>
      </w:r>
    </w:p>
    <w:p>
      <w:pPr>
        <w:pStyle w:val="Heading2"/>
      </w:pPr>
      <w:r>
        <w:t>Regeste</w:t>
      </w:r>
    </w:p>
    <w:p>
      <w:r>
        <w:t>COMPÉTENCE ; FAIT DE DOUBLE PERTINENCE ; ACTION EN REVENDICATION(DROITS RÉELS) | LOJ.86; CC.641; CO.266.m; CO.266.1;</w:t>
      </w:r>
    </w:p>
    <w:p>
      <w:pPr>
        <w:pStyle w:val="Heading2"/>
      </w:pPr>
      <w:r>
        <w:t>Erwägungen</w:t>
      </w:r>
    </w:p>
    <w:p>
      <w:r>
        <w:rPr>
          <w:b/>
        </w:rPr>
        <w:t>E. 1.1</w:t>
      </w:r>
    </w:p>
    <w:p>
      <w:r>
        <w:t>A teneur de l'art. 308 al. 1 let. a CPC, l'appel est recevable contre les décisions de première instance, finales et incidentes, lorsque la valeur litigieuse au dernier état des conclusions atteint au moins 10'000 fr. dans les affaires patrimoniales (art. 308 al. 2 CPC). L'action en revendication au sens de l'art. 641 al. 2 CC est une contestation de nature pécuniaire dont la valeur litigieuse correspond à la valeur de l'objet revendiqué, déduction faite de l'hypothèque grevant celui-ci (ATF 94 II 51 consid. 2; arrêt du Tribunal fédéral 4A_18/2011 du 5 avril 2011 consid. 1.1; 4A_188/2012 du 1er mai 2012 consid. 1). En l'occurrence et dans la mesure où l'action porte sur la revendication d'un appartement de six pièces situé à Genève, la valeur de 10'000 fr. est manifestement atteinte, sans qu'il soit nécessaire de fixer la valeur litigieuse de manière précise. La voie de l'appel est dès lors ouverte.</w:t>
      </w:r>
    </w:p>
    <w:p>
      <w:r>
        <w:rPr>
          <w:b/>
        </w:rPr>
        <w:t>E. 1.2</w:t>
      </w:r>
    </w:p>
    <w:p>
      <w:r>
        <w:t>Déposé dans le délai de trente jours, compte tenu de la suspension des délais du 18 décembre 2016 au 2 janvier 2017, et suivant la forme prescrite par la loi (art. 130, 131, 145, 308 al. 1 let. a, 308 al. 2 et 311 al. 1 CPC), l'appel est recevable à la forme. La Cour connaît de la présente cause avec un plein pouvoir d’examen (art. 310 CPC).</w:t>
      </w:r>
    </w:p>
    <w:p>
      <w:r>
        <w:rPr>
          <w:b/>
        </w:rPr>
        <w:t>E. 2</w:t>
      </w:r>
    </w:p>
    <w:p>
      <w:r>
        <w:t>La question litigieuse se rapporte à la juridiction compétente à raison de la matière pour connaître de la demande en évacuation formée par l'intimée, question que la Cour examine d'office.</w:t>
      </w:r>
    </w:p>
    <w:p>
      <w:r>
        <w:rPr>
          <w:b/>
        </w:rPr>
        <w:t>E. 2.1</w:t>
      </w:r>
    </w:p>
    <w:p>
      <w:r>
        <w:t>Lorsqu'il doit statuer d'entrée de cause sur sa compétence (art. 59 al. 2 let. b CPC), le tribunal doit tout d'abord examiner si le ou les faits pertinents de la disposition légale applicable, en l'occurrence l'art. 33 CPC, sont des faits simples ou des faits doublement pertinents, les exigences de preuve étant différentes pour les uns et pour les autres. Les principes jurisprudentiels développés en matière internationale sous le nom de " théorie de la double pertinence " (sur l'ensemble de la question : ATF 141 III 294 consid. 5.2 et 5.3) sont applicables en matière de compétence interne (cf., à propos de l'aLFors, ATF 137 III 32 consid. 2).</w:t>
      </w:r>
    </w:p>
    <w:p>
      <w:r>
        <w:rPr>
          <w:b/>
        </w:rPr>
        <w:t>E. 2.1.2</w:t>
      </w:r>
    </w:p>
    <w:p>
      <w:r>
        <w:t>Les faits sont simples ( einfachrelevante Tatsachen ) lorsqu'ils ne sont déterminants que pour la compétence. Ils doivent être prouvés au stade de l'examen de la compétence, lorsque la partie défenderesse soulève l'exception de déclinatoire en contestant les allégués du demandeur (arrêts du Tribunal fédéral 4A_28/2014 du 10 décembre 2014 consid. 4.2.1; 4A_113/2014 du 15 juillet 2014 consid. 2.3, non publié in ATF 140 III 418 ; ATF 137 III 32 consid. 2.3; 134 III 27 consid. 6.2.1; 133 III 295 consid. 6.2).</w:t>
      </w:r>
    </w:p>
    <w:p>
      <w:r>
        <w:rPr>
          <w:b/>
        </w:rPr>
        <w:t>E. 2.1.3</w:t>
      </w:r>
    </w:p>
    <w:p>
      <w:r>
        <w:t>Les faits sont doublement pertinents ou de double pertinence ( doppelrelevante Tatsachen ) lorsque les faits déterminants pour la compétence du tribunal sont également ceux qui sont déterminants pour le bien-fondé de l'action. Conformément à la théorie dite de la double pertinence, le juge saisi examine sa compétence sur la base des allégués, moyens et conclusions de la demande ( der eingeklagte Anspruch und dessen Begründung ), sans tenir compte des objections de la partie défenderesse (ATF 136 III 486 consid. 4 p. 487; arrêt 4A_630/2011 du 7 mars 2012 consid. 2.2, non publié in ATF 138 III 166 ). L'administration des preuves sur les faits doublement pertinents est renvoyée à la phase du procès au cours de laquelle est examiné le bien-fondé de la prétention au fond (arrêts du Tribunal fédéral 4A_28/2014 déjà cité, consid. 4.2.2; 4A_113/2014 déjà cité, consid. 2.3; ATF 137 III 32 consid. 2.3; 133 III 295 consid. 6.2; 122 III 249 consid. 3b/bb p. 252). En d'autres termes, au stade de l'examen et de la décision sur la compétence, qui ont lieu d'entrée de cause, les faits doublement pertinents n'ont pas à être prouvés, mais sont censés établis sur la base des allégués, moyens et conclusions du demandeur. Ce sont donc les écritures du demandeur qui doivent fonder la décision du tribunal sur sa compétence, sauf en cas d'abus de droit ou lorsque les allégués sont manifestement faux (ATF 141 III 294 déjà cité, consid. 5.3). Si les conditions permettant de fonder la compétence du tribunal saisi ne sont pas remplies, la demande doit être déclarée irrecevable. Dans le cas contraire, le tribunal saisi admet sa compétence. L'administration des moyens de preuve sur les faits doublement pertinents aura lieu ultérieurement dans la phase du procès au fond, soit au cours des débats principaux : s'il se révèle alors que le fait doublement pertinent n'est pas prouvé, le tribunal rejettera la demande, par un jugement revêtu de l'autorité de la chose jugée; s'il se révèle que le fait doublement pertinent est prouvé, le tribunal examinera les autres conditions de la prétention au fond.</w:t>
      </w:r>
    </w:p>
    <w:p>
      <w:r>
        <w:rPr>
          <w:b/>
        </w:rPr>
        <w:t>E. 2.1.4</w:t>
      </w:r>
    </w:p>
    <w:p>
      <w:r>
        <w:t>Le juge doit encore examiner si les faits doublement pertinents allégués par le demandeur (censés établis) sont concluants (schlüssig), c'est-à-dire s'ils permettent juridiquement d'en déduire le for invoqué par le demandeur; il s'agit là d'une question de droit (ATF 141 III 294 déjà cité, consid. 6.1. in fine) .</w:t>
      </w:r>
    </w:p>
    <w:p>
      <w:r>
        <w:rPr>
          <w:b/>
        </w:rPr>
        <w:t>E. 3</w:t>
      </w:r>
    </w:p>
    <w:p>
      <w:r>
        <w:t>3.1.1 A teneur de l'art. 86 al. 1 LOJ, le Tribunal de première instance est compétent pour tous les actes de la juridiction civile contentieuse ou non contentieuse que la loi n’attribue pas à une autre autorité judiciaire ou administrative. Le Tribunal des baux et loyers connaît en particulier des litiges relatifs au contrat de bail à loyer (art. 253 à 273c CO) portant sur une chose immobilière (art. 89 al. 1 let. a et c LOJ). Afin de trancher la question de la compétence de la juridiction des baux et loyers ou du Tribunal de première instance, il convient de déterminer la nature du litige opposant les parties. 3.1.2 A teneur de l'art. 641 al. 2 CC, le propriétaire d'un objet peut le revendiquer contre quiconque le détient sans droit. Cette disposition donne au propriétaire le moyen de défendre son droit par l'action en revendication pour obtenir la restitution de l'objet (STEINAUER, Les droits réels , Tome I, 2007, n. 1015, p. 281). Le propriétaire peut ainsi demander l'évacuation de son immeuble (MEIER-HAYOZ, Commentaire Bernois , 1981, n. 61 ad art. 641 CC). La restitution ne sera toutefois ordonnée que si le défendeur ne prouve pas qu'il a le droit de posséder l'objet, soit en vertu d'un droit réel limité, soit en vertu d'un droit personnel, par exemple un bail (STEINAUER, op. cit. , n. 1022, p. 284). 3.1.3 Le contrat de bail est celui par lequel le bailleur s'oblige à céder l'usage d'une chose au locataire, moyennant un loyer (art. 253 CO). La sous-location est un contrat par lequel le locataire cède, moyennant le paiement d'un loyer, l'usage de la chose louée à un tiers (le sous-locataire) avec le consentement du bailleur (art. 262 al. 1 CO). Le bailleur ne peut refuser son consentement que dans les hypothèses visées par l'art. 262 al. 2 CO. La sous-location est un contrat de bail à part entière, distinct du bail principal, soumis en principe aux règles des art. 253 ss CO (ATF 139 III 353 consid. 2.1.2 et la doctrine citée). S'il est vrai que la sous-location constitue un bail en soi distinct du bail principal, il n'en est pas totalement indépendant. Dans un contrat de bail, le bailleur s'engage à céder l'usage de la chose, ce qui suppose qu'il soit lui-même titulaire de ce droit d'usage. Dans le cas d'une sous-location, il est évident que le sous-bailleur ne peut pas transférer plus de droits qu'il n'en a lui-même. Si le bail principal s'éteint, le sous-bailleur se trouve dans l'impossibilité de fournir sa prestation au sous-locataire. Dès lors que le droit d'usage ne lui est plus valablement cédé (personne ne peut céder plus de droits qu'il n'en possède), le sous-locataire doit restituer la chose. Il pourrait, sinon, faire l'objet d'une demande d'expulsion (ATF 139 III 353 consid. 2.1.2 et la doctrine citée). 3.1.4 La succession répudiée par tous les héritiers légaux du rang le plus proche est liquidée par l'Office de faillites (art. 573 CC). Les effets de l'ouverture de la faillite d'une succession répudiée sont les mêmes que ceux de l'ouverture de n'importe quelle faillite. Or, le droit suisse ne contient aucune disposition générale selon laquelle la faillite met fin automatiquement aux contrats auxquels le failli est partie (arrêt du Tribunal fédéral 4C.252/2005 du 6 février 2006 consid. 4 et les références citées).</w:t>
      </w:r>
    </w:p>
    <w:p>
      <w:r>
        <w:rPr>
          <w:b/>
        </w:rPr>
        <w:t>E. 3.2</w:t>
      </w:r>
    </w:p>
    <w:p>
      <w:r>
        <w:t>En l'espèce, l'appelante n'a jamais été membre de la société coopérative, n'a jamais été personnellement titulaire du contrat de bail, n'est pas l'héritière de son mari, condition pour envisager statutairement de reprendre ses droits dans B_____, voire de se voir conférer la qualité de locataire. De plus, en l'espèce, l'Office des faillites a avisé l'intimée en octobre 2015 que l'administration de la faillite n'entendait pas entrer dans le contrat de bail ni fournir les sûretés prévues en application de l'art. 266h al. 2 CO. Elle s'est donc départie du contrat de bail, ainsi qu'elle en avait le droit, ce que l'appelante admet dans ses écritures (" il est constant dans ce dossier qu'on est dans un cas de résiliation d'un contrat de bail dans le cadre d'une succession insolvable " (recours, p. 10 in fine). Le cumul de ces éléments, allégués par l'intimée dans sa demande sans abus de droit ni fausseté, rend vraisemblable l'absence de titre d'occupation des locaux par l'appelante en application de la théorie de la double vraisemblance, et justifie l'attribution de la compétence ratione materaie à la juridiction ordinaire. Les arguments développés par l'appelante, soit l'application par analogie de deux dispositions du contrat de bail à loyer (art. 266i et 266m CO), constituent autant d'objections qui devront être examinées avec le fond, la théorie de la double pertinence excluant leur analyse au stade de la fixation de la compétence (ATF 136 III 486 consid. 4). Dès lors que le litige n'apparaît pas prima facie fondé sur un contrat de bail à loyer, le Tribunal de première instance a donc retenu avec raison que la compétence ratione materiae pour connaître de la demande en évacuation formée par l'intimée revenait à la juridiction ordinaire et non pas à la juridiction des baux et loyers. L'appel est infondé, ce qui conduit à la confirmation du jugement déféré.</w:t>
      </w:r>
    </w:p>
    <w:p>
      <w:r>
        <w:rPr>
          <w:b/>
        </w:rPr>
        <w:t>E. 4</w:t>
      </w:r>
    </w:p>
    <w:p>
      <w:r>
        <w:t>Les frais de la présente décision, fixés à 1'000 fr., seront mis à la charge de l'appelante, qui succombe (art. 104 al. 1, 105 et 106 al. 1 CPC; art. 7, 17 et 35 RTFMC). Ils sont compensés avec l'avance de frais versée par l'appelante, laquelle reste acquise à l'Etat. Cette dernière sera également condamnée à des dépens en faveur de l'intimée, fixés à 1'000 fr., débours et TVA inclus (art. 105 al. 2 CPC; art. 85, 87 et 90 RTFMC; art. 23 al. 1, 25 et 26 de la Loi d'application du code civil suisse et d'autres lois fédérales en matière civile (LaCC) - E 1 05), au regard du travail fourni par le conseil de l'intimée.</w:t>
      </w:r>
    </w:p>
    <w:p>
      <w:r>
        <w:rPr>
          <w:b/>
        </w:rPr>
        <w:t>E. 5</w:t>
      </w:r>
    </w:p>
    <w:p>
      <w:r>
        <w:t>Le jugement déféré constitue une décision incidente qui porte sur la compétence, laquelle peut faire l'objet d'un recours immédiat au Tribunal fédéral en application de l'art. 92 LTF. * * * * * * PAR CES MOTIFS, La Chambre civile : A la forme : Déclare recevable l'appel interjeté par A______ contre le jugement JTPI/14944/2016 rendu le 28 novembre 2016 par le Tribunal de première instance dans la cause C/1189/2016-17. Au fond : Confirme le jugement entrepris. Déboute les parties de toutes autres conclusions. Sur les frais : Arrête à 1'000 fr. les frais judiciaires d'appel, les met à la charge de A_____ et les compense avec l'avance, laquelle reste acquise à l'Etat de Genève. Condamne A_____ à payer 1'000 fr. à B_____ à titre de dépens d'appel. Siégeant : Madame Florence KRAUSKOPF, présidente; Monsieur Ivo BUETTI, juge, Monsieur Louis PEILA, juge suppléant; Madame Camille LESTEVEN, greffière. La présidente : Florence KRAUSKOPF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