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C/11897/2012 vom 8. Dezember 2014</w:t>
      </w:r>
    </w:p>
    <w:p>
      <w:r>
        <w:t>GE Cour de justice, 2014-12-08, FR</w:t>
      </w:r>
    </w:p>
    <w:p>
      <w:r>
        <w:rPr>
          <w:b/>
        </w:rPr>
        <w:t xml:space="preserve">Quelle: </w:t>
      </w:r>
      <w:r>
        <w:t>https://mcp.opencaselaw.ch/entscheid/ge_gerichte_C_11897_2012</w:t>
      </w:r>
    </w:p>
    <w:p>
      <w:r>
        <w:t>FR: GE_GERICHTE C/11897/2012 du 8 décembre 2014</w:t>
      </w:r>
    </w:p>
    <w:p>
      <w:r>
        <w:t>IT: GE_GERICHTE C/11897/2012 del 8 dicembre 2014</w:t>
      </w:r>
    </w:p>
    <w:p>
      <w:pPr>
        <w:pStyle w:val="Heading2"/>
      </w:pPr>
      <w:r>
        <w:t>Regeste</w:t>
      </w:r>
    </w:p>
    <w:p>
      <w:r>
        <w:t>LOYER INITIAL | CO.257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Selon la jurisprudence constante du Tribunal fédéral, les contestations portant sur l'usage d'une chose louée sont de nature pécuniaire (arrêts du Tribunal fédéral 4C.310/1996 du 16 avril 1997 = SJ 1997 p. 493 consid. 1; 4A_574/2011 du 24 novembre 2011 consid. 1.1). La valeur litigieuse est déterminée par les dernières conclusions de première instance (art. 91 al. 1 CPC; Jeandin, Code de procédure civile commenté, Bâle, 2011, n. 13 ad art. 308 CPC). S'agissant d'un contrat de bail reconductible tacitement, soit de durée indéterminée (ATF 114 II 165 consid. 2b), la valeur litigieuse déterminante doit être calculée en fonction de la baisse requise, fixée annuellement et multipliée par vingt (arrêts du Tribunal fédéral 4A_136/2011 du 10 juin 2011 consid. 1 non publié aux ATF 137 III 362 ; 4A_475/2012 du 6 décembre 2012 consid. 1).</w:t>
      </w:r>
    </w:p>
    <w:p>
      <w:r>
        <w:rPr>
          <w:b/>
        </w:rPr>
        <w:t>E. 1.2</w:t>
      </w:r>
    </w:p>
    <w:p>
      <w:r>
        <w:t>En l'espèce, l'appelante a conclu en première instance à la fixation de son loyer à 6'620 fr. par année, charges non comprises, avec effet au 1 er septembre 2013 et à 7'786 fr. avec effet au 1 er septembre 2014 et pour l'avenir, alors que la bailleresse a conclu à la validation de la hausse de loyer à 8'676 fr. avec effet au 1 er septembre 2013 et à 9'204 fr. avec effet au 1 er septembre 2014, de sorte que la valeur litigieuse calculée selon l'art. 92 al. 1 et 2 CPC est supérieure à 10'000 fr. La voie de l'appel est dès lors ouverte.</w:t>
      </w:r>
    </w:p>
    <w:p>
      <w:r>
        <w:rPr>
          <w:b/>
        </w:rPr>
        <w:t>E. 1.3</w:t>
      </w:r>
    </w:p>
    <w:p>
      <w:r>
        <w:t>Les litiges portant sur des baux à loyer d'habitations sont soumis, en ce qui concerne la protection contre les loyers abusifs, aux règles de la procédure simplifiée, quelle que soit la valeur litigieuse (art. 243 al. 2 let. c CPC).</w:t>
      </w:r>
    </w:p>
    <w:p>
      <w:r>
        <w:rPr>
          <w:b/>
        </w:rPr>
        <w:t>E. 1.4</w:t>
      </w:r>
    </w:p>
    <w:p>
      <w:r>
        <w:t>Interjeté dans le délai et suivant la forme prescrits par la loi (art. 130, 131 et 311 al. 1 et 314 al. 2 CPC a contrario ), l'appel est ainsi recevable.</w:t>
      </w:r>
    </w:p>
    <w:p>
      <w:r>
        <w:rPr>
          <w:b/>
        </w:rPr>
        <w:t>E. 1.5</w:t>
      </w:r>
    </w:p>
    <w:p>
      <w:r>
        <w:t>La Cour dispose d'un plein pouvoir d'examen, tant en fait qu'en droit (art. 310 CPC). Elle établit les faits d'office (art. 247 al. 2 let. a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l'appelante a produit deux pièces nouvelles en appel. Sa pièce 1, à savoir le bilan intermédiaire 2011 sur la mise en œuvre du Règlement est irrecevable, puisqu'elle aurait pu être produite devant le premier juge. L'appelante n'a donc pas fait preuve de la diligence requise en la produisant seulement au stade de l'appel. Celle-ci sera donc écartée de la procédure, ainsi que les allégués de fait s'y rapportant. Par contre, sa pièce 2, à savoir le guide pratique 2012 sur le RDU, est recevable dans la mesure où elle a été utilisée par le premier juge, lequel y fait expressément référence et renvoie au site internet sur lequel il est disponible.</w:t>
      </w:r>
    </w:p>
    <w:p>
      <w:r>
        <w:rPr>
          <w:b/>
        </w:rPr>
        <w:t>E. 3</w:t>
      </w:r>
    </w:p>
    <w:p>
      <w:r>
        <w:t>L'appelante fait grief au premier juge d'avoir considéré qu'elle bénéficiait d'une aide personnalisée et de s'être estimé incompétent pour connaître de la contestation du calcul du loyer.</w:t>
      </w:r>
    </w:p>
    <w:p>
      <w:r>
        <w:rPr>
          <w:b/>
        </w:rPr>
        <w:t>E. 3.1</w:t>
      </w:r>
    </w:p>
    <w:p>
      <w:r>
        <w:t>Selon l'art. 89 al. 1 let. a LOJ, le Tribunal des baux et loyers connaît notamment des litiges relatifs au contrat de bail à loyer (art. 253 à 273c CO) portant sur une chose immobilière.</w:t>
      </w:r>
    </w:p>
    <w:p>
      <w:r>
        <w:rPr>
          <w:b/>
        </w:rPr>
        <w:t>E. 3.2</w:t>
      </w:r>
    </w:p>
    <w:p>
      <w:r>
        <w:t>Le loyer est la rémunération due par le locataire au bailleur pour la cession de l'usage de la chose (art. 257 CO). Le bail à loyer est par nature un contrat à titre onéreux, le loyer étant un élément nécessaire du contrat; les parties peuvent toutefois convenir d'un montant de loyer qui n'est pas fixé exactement, mais qui est déterminable (arrêt du Tribunal fédéral 4C.426/2006 du 18 juin 2007 consid. 2.2; Lachat, Le bail à loyer, Lausanne, 2008, p. 83). Le loyer des logements propriété des collectivités publiques est parfois fixé en fonction des revenus du locataire. Une fois par an, à l'échéance contractuelle, le bailleur adapte le loyer à l'évolution des revenus du locataire (Lachat, op. cit., p. 501). Le loyer lié aux revenus du locataire est doublement plafonné. D'une part, il ne peut être supérieur au montant découlant de la clause contractuelle (x% du revenu déterminant). D'autre part, si ce revenu est élevé, le loyer ne peut excéder - en cas de contestation - le montant nécessaire à couvrir les charges et à renter équitablement les fonds propres investis dans l'appartement (Lachat, op. cit., p. 501 s.; voir également ATF 116 II 184 consid. 3a).</w:t>
      </w:r>
    </w:p>
    <w:p>
      <w:r>
        <w:rPr>
          <w:b/>
        </w:rPr>
        <w:t>E. 3.3</w:t>
      </w:r>
    </w:p>
    <w:p>
      <w:r>
        <w:t>Dès lors qu'elle résulte expressément d'une clause contractuelle, la méthode de fixation du loyer proportionnel est l'expression de la volonté commune des parties. En principe valable pour toute la durée du contrat, elle permet de fixer, en vertu d'un calcul fixe et précis, le loyer pour la prochaine échéance contractuelle. Ainsi, le loyer proportionnel s'applique sans référence aucune à un loyer antérieur et reste même sans effet sur l'avenir du loyer. Dans ces conditions, même s'il peut varier tant vers le haut que vers le bas au gré de l'évolution de la valeur de référence, un loyer déterminable sur la base d'un tel calcul doit être assimilé à un loyer fixe, arrêté d'un commun accord par les parties lors de la conclusion du bail (cf. ATF 116 II 587 consid. 3b dans lequel le Tribunal fédéral traitait d'un loyer proportionnel au chiffre d'affaires). Dans les baux qui contiennent une clause contractuelle prévoyant le lien entre le loyer et les revenus, le loyer initial ainsi convenu peut faire l'objet d'une contestation du loyer initial au sens de l'art. 270 CO et les adaptations ultérieures du loyer peuvent être contestées (Lachat, op. cit., p. 502), sur la base des principes généraux du droit des contrats (respect de la clause de fixation du loyer). Le cas échéant, le loyer doit être apprécié en fonction du rendement de la chose louée (art. 269 CO) (ATF 116 II 184 consid. 3a).</w:t>
      </w:r>
    </w:p>
    <w:p>
      <w:r>
        <w:rPr>
          <w:b/>
        </w:rPr>
        <w:t>E. 3.4</w:t>
      </w:r>
    </w:p>
    <w:p>
      <w:r>
        <w:t>En l'espèce, l'appelante ayant signé et approuvé l'avenant au bail du 18 mai 2009, les règles du Règlement sont devenues parties intégrante du contrat de bail qui la lie à la bailleresse, ce que les parties ne contestent pas. D'après lesdites règles, le loyer est désormais fixé en fonction des revenus du groupe familial occupant le logement multiplié par un taux d'effort (Règlement art. 9), évoluant entre 12% et 22% selon le montant desdits revenus (Règlement art. 10). Toutefois, il ne peut pas dépasser le loyer admissible au sens du Code des obligations (Règlement art. 12). L'appelante contestant la façon dont le loyer a été calculé et demandant l'application des règles du Règlement, lesquelles sont devenues parties intégrante du contrat de bail qui lient les parties, il s'agit d'un litige contractuel fondé sur l'exécution ou l'interprétation d'un contrat bail pour lequel la juridiction des baux et loyers est compétente.</w:t>
      </w:r>
    </w:p>
    <w:p>
      <w:r>
        <w:rPr>
          <w:b/>
        </w:rPr>
        <w:t>E. 4</w:t>
      </w:r>
    </w:p>
    <w:p>
      <w:r>
        <w:t>L'appelante reproche à la bailleresse d'avoir mal appliqué les règles contractuelles pour fixer le montant de son loyer dès le 1 er septembre 2013. Pour l'appelante, ses revenus devaient être déterminés selon les art. 13 et 14 du Règlement pour fixer le montant de son loyer, dans la mesure où le RDU était déjà opérationnel, et non selon les dispositions transitoires de l'art. 17 de ce même règlement. De plus, il y aurait lieu de faire application d'une interprétation contra stipulatorem et de tenir compte du fait qu'une disposition transitoire est une exception à l'application de la règle principale.</w:t>
      </w:r>
    </w:p>
    <w:p>
      <w:r>
        <w:rPr>
          <w:b/>
        </w:rPr>
        <w:t>E. 4.1</w:t>
      </w:r>
    </w:p>
    <w:p>
      <w:r>
        <w:t>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78 consid. 2.4 p. 83; 138 II 105 consid. 5.2 p. 107 s.; 137 V 14 consid. 4.3.1 p. 118; arrêt du Tribunal fédéral 2C_10/2014 du 4 septembre 2014 consid. 4.2).</w:t>
      </w:r>
    </w:p>
    <w:p>
      <w:r>
        <w:rPr>
          <w:b/>
        </w:rPr>
        <w:t>E. 4.2</w:t>
      </w:r>
    </w:p>
    <w:p>
      <w:r>
        <w:t>En l'espèce, la clause contractuelle litigieuse renvoie au Règlement de 2009, réputé régir les relations des parties. S'agissant d'un texte législatif, ce Règlement doit être interprété à la lumière des principes régissant l'interprétation de la loi et non des principes d'interprétation des contrats. Le Règlement contient aux art. 13 et 14 les règles permettant de déterminer le revenu familial, auquel est appliqué le taux d'effort, pour fixer le montant du loyer. Ces règles cèdent cependant le pas devant l'art. 17 dudit Règlement aussi longtemps que le RDU au sens de la LRDU n'est pas opérationnel. Comme le relève l'appelante, le Règlement ne contient pas de définition d'un RDU opérationnel. A ses art. 13 et 17, le Règlement fait référence au RDU au sens de la Loi genevoise sur le revenu déterminant le droit aux prestations sociales cantonales du 19 mai 2005 (RS/GE J 4 06; LRDU), laquelle est entrée en vigueur le 1 er janvier 2007 et a été modifiée pour la dernière fois par une novelle adoptée le 5 juin 2014 et entrée en vigueur le 6 septembre 2014. Le RDU au sens de la LRDU est un montant calculé sur la base du revenu et de la fortune, selon des modalités unifiées et applicables à toutes les prestations sociales soumises à condition de revenu. Les prestations sociales versées viennent ensuite s'ajouter à ce montant au fur et à mesure de leur délivrance (Guide, p. 2). Il est calculé sur la base d'une sélection d'éléments de revenu et de fortune fixés par la LRDU (Guide, p. 6). Le calcul des prestations sociales nécessite une "gamme des RDU", lesquels servent de référence à différentes prestations sociales soumises à condition de revenu (Guide, p. 8 s.). Parmi ces RDU adaptés aux besoins figurent : - le RDU simplifié, calculé automatiquement sur la base de la taxation fiscale en année N-2, utilisé principalement pour les subsides d'assurance-maladie; - le RDU actualisé (année N ou RDU 0), mis à jour à partir du RDU simplifié, utilisé principalement pour les allocations de logement, les allocations d'études et d'apprentissage, les prestations complémentaires et l'aide sociale; - le RDU le plus récent possible disponible dans la base de données SI RDU, pour les prestations tarifaires (par exemple, les tarifs des camps de vacances ou de la clinique dentaire de la jeunesse). En l'état de la situation relatée par le Guide en 2012, le système d'exploitation utilisé fournissait le RDU sur la base de la dernière taxation fiscale, lequel était appelé communément le RDU N-2. Il en résultait un décalage de deux ans entre l'année qui était prise en compte pour la détermination du RDU et l'année de délivrance de la prestation. Par exemple, le RDU 2011 se fondait sur la taxation fiscale 2009. Le RDU était donc partiellement mis en œuvre et s'appliquait uniquement à certaines prestations sociales, en particulier les subsides d'assurance-maladie. Il était prévu que, avec le futur système d'information qui serait réalisé dans les deux ou trois ans, le RDU puisse être également utilisé pour les prestations sociales qui s'appuyaient sur le revenu actuel, telles que l'allocation de logement, les allocations d'études, les prestations complémentaires à l'AVS/AI ou l'aide sociale (Guide, p. 6, 8 et 12 ch. 2). Il découle de ce qui précède que le RDU au sens de la LRDU n'est pas unique, mais diffère selon la prestation sociale concernée. Certaines prestations sociales ne peuvent en effet se fonder sur un RDU N-2. Le déploiement du RDU à l'ensemble des prestations sociales cantonales reste incomplet dans l'attente de la mise en place d'un système d'information. De plus, le RDU n'est pas utilisé pour les allocations de logement cantonales, vu que cette prestation sociale nécessite un RDU actualisé (année N), lequel n'est pas encore disponible. Il ressort des travaux préparatoires du Règlement litigieux que le RDU opérationnel de l'art. 17 du Règlement vise un RDU de l'année en cours, soit un RDU N ou RDU 0. Qui plus est, le RDU opérationnel de l'art. 17 du Règlement ne pouvait pas être un RDU N-2, déjà disponible lors de sa rédaction, faute de quoi l'introduction de dispositions transitoires n'aurait pas eu de sens. La non équivalence du RDU opérationnel au RDU N-2 a par ailleurs été confirmée par le fait que le projet d'arrêté PA-100 et la résolution R-126, visant à l'abrogation de l'art. 17 du Règlement et déposés entre autres par l'appelante, ont été refusés au mois de septembre 2010 par le Conseil municipal. C'est par conséquent à juste titre que le Tribunal a retenu que le RDU visé à l'art. 17 du Règlement n'était pas opérationnel au moment de la notification de la hausse de loyer litigieuse, de sorte que le loyer devait être calculé sur la base de l'art. 17 précité. L'appelante ne conteste par ailleurs pas les détails du calcul opéré par l'intimée sur la base de l'art. 17 du Règlement, de sorte que le jugement querellé doit être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conséquent, il ne se justifie pas de fixer de frais ni d'allouer de dépens. * * * * * PAR CES MOTIFS, La Chambre des baux et loyers : A la forme : Déclare recevable l'appel interjeté le 26 mai 2014 par A______ contre le jugement JTBL/452/2014 rendu le 16 avril 2014 par le Tribunal des baux et loyers dans la cause C/11897/2012-6-OSL. Au fond : Confirme ce jugement.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