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C/11803/2014 vom 24. Januar 2023</w:t>
      </w:r>
    </w:p>
    <w:p>
      <w:r>
        <w:t>GE Cour de justice, 2023-01-24, FR</w:t>
      </w:r>
    </w:p>
    <w:p>
      <w:r>
        <w:rPr>
          <w:b/>
        </w:rPr>
        <w:t xml:space="preserve">Quelle: </w:t>
      </w:r>
      <w:r>
        <w:t>https://mcp.opencaselaw.ch/entscheid/ge_gerichte_C_11803_2014</w:t>
      </w:r>
    </w:p>
    <w:p>
      <w:r>
        <w:t>FR: GE_GERICHTE C/11803/2014 du 24 janvier 2023</w:t>
      </w:r>
    </w:p>
    <w:p>
      <w:r>
        <w:t>IT: GE_GERICHTE C/11803/2014 del 24 gennaio 2023</w:t>
      </w:r>
    </w:p>
    <w:p>
      <w:pPr>
        <w:pStyle w:val="Heading2"/>
      </w:pPr>
      <w:r>
        <w:t>Erwägungen</w:t>
      </w:r>
    </w:p>
    <w:p>
      <w:r>
        <w:rPr>
          <w:b/>
        </w:rPr>
        <w:t>E. 9</w:t>
      </w:r>
    </w:p>
    <w:p>
      <w:r>
        <w:t>septembre 2010 " (sic). EN DROIT 1. 1.1 Dans les affaires patrimoniales, l'appel est recevable contre les décisions finales et les décisions incidentes de première instance lorsque la valeur litigieuse au dernier état des conclusions est de 10'000 fr. au moins (art. 308 al. 1 et 2 CPC). En l'espèce, devant le Tribunal, l'appelant a conclu en dernier lieu au paiement d'une somme de 201'805 fr. 56. La voie de l'appel est dès lors ouverte. 1.2 Interjeté dans le délai de trente jours et suivant la forme prescrite par la loi, l'appel est en l'espèce recevable (art. 130, 131, 145 al. 1 let. b, 311 al. 1 CPC). 1.3 L'appel peut être formé pour violation du droit et/ou constatation inexacte des faits (art. 310 CPC). La Cour revoit la cause avec un plein pouvoir d'examen. Elle applique la maxime des débats et le principe de disposition (art. 55 al. 1 et 58 al. 1 CPC). En l'espèce, l'appelant fait grief au Tribunal d'avoir constaté les faits de manière inexacte au motif que ce dernier aurait indiqué de manière erronée à deux reprises dans la partie "En droit" de son jugement que la faillite de C______ avait été prononcée le 9 septembre 2010 au lieu du 9 décembre 2010 (cf. partie "En droit", consid. E, p. 30 §2 et §4). Il allègue que cette erreur aurait conduit le premier juge à retenir à tort que la société n'avait pas aggravé son surendettement au moment où elle a contracté avec lui. Il est vrai que le jugement comporte manifestement une erreur de plume; il ne s'agit pas d'une constatation inexacte des faits. Dans la partie "En fait" du jugement, le Tribunal a indiqué de manière correcte que la faillite de C______ avait été prononcée le 9 décembre 2010. Dans la partie "En droit", le Tribunal a correctement indiqué la date de la faillite lorsqu'il a soulevé la question de "savoir si C______ a[vait] aggravé son surendettement entre la mi-septembre 2010 (hypothèse la plus favorable à la défenderesse) et le 9 décembre 2010" (cf. p. 29 §4). Enfin, dans son raisonnement "En droit", le Tribunal a repris le montant de 13'951'801 fr. 81 allégué par l'appelant comme valeur de liquidation de la société au moment de la faillite pour considérer que ce dernier n'avait pas apporté la preuve de l'état du patrimoine de la société au moment de la faillite, de sorte que cette erreur de plume n'emporte aucune conséquence sur la solution retenue par le Tribunal. Au vu de ce qui précède, le grief de l'appelant n'est pas fondé. 2. 2.1 Lorsqu'il est soutenu qu'un administrateur, un réviseur ou un tiers, en manquant intentionnellement ou par négligence à ses devoirs, a causé un dommage à une société, la créance en réparation appartient à la société (ATF 136 III 148 consid. 2.3; 132 III 564 consid. 3.2.2). Lorsque la société tombe en faillite - comme c'est le cas en l'espèce -, la créance que la société pouvait faire valoir contre la personne responsable est remplacée par une créance de la communauté des créanciers (ATF 136 III 148 consid. 2.3; 132 III 564 consid. 3.2.2 ; 117 II 432 consid. 1b/dd). Il appartient en priorité à l'administration de la faillite de faire valoir cette créance (art. 757 al. 1 CO), mais si elle y renonce (art. 757 al. 2 CO), un créancier social peut réclamer à sa place la réparation du dommage subi directement par la société; il exerce alors l'action de la communauté des créanciers (ATF 132 III 564 consid. 3.2.2 et les arrêts cités). En matière de poursuite et faillite, ce mécanisme est réglé par l'art. 260 LP et le créancier social qui a obtenu la cession des droits de la masse agit sur la base d'un mandat procédural; il est ainsi légitimé à actionner la personne responsable pour réclamer la réparation du dommage subi par la société (ATF 136 III 148 consid. 2.3; 132 III 564 consid. 3.2.2 p. 570). 2.2 En l'espèce, il est établi que l'appelant, créancier de C______ à hauteur de 201'805 fr. 56, a obtenu la cession des droits de la masse en faillite de C______, conformément aux dispositions et principes rappelés ci-dessus. Agissant sur cette base, il ne se prévaut pas d'un dommage que l'intimée lui aurait causé directement, mais uniquement d'un dommage que celle-ci aurait causé en premier lieu à la société C______, et entraînant pour lui-même un dommage indirect. Conformément aux dispositions et principes rappelés ci-dessus, l'appelant est légitimé à faire valoir de telles prétentions. 3. L'appelant reproche au Tribunal d'avoir considéré que les conditions de la responsabilité de l'intimée n'étaient pas réunies, soit en particulier qu'il n'avait pas suffisamment établi le dommage pouvant être imputé à cette dernière. 3.1.1 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(art. 755 al. 1 CO). La responsabilité des organes envers la société, dont celle des réviseurs aux comptes, est subordonnée à la réunion de quatre conditions générales, soit la violation d'un devoir, une faute (intentionnelle ou par négligence), un dommage et l'existence d'un rapport de causalité (naturelle et adéquate) entre la violation du devoir et la survenance du dommage, la notion de faute se confondant pratiquement avec celle de violation des devoirs (ATF 132 III 564 consid. 4.2; 127 III 453 consid. 5a; arrêt du Tribunal fédéral 4C.200/2002 du 13 novembre 2002 consid. 6 non publié dans ATF 129 III 129 ). Il appartient au demandeur à l'action en responsabilité de prouver la réalisation de ces conditions (art. 8 CC), qui sont cumulatives (ATF 128 III 180 consid. 2d; arrêt du Tribunal fédéral 4C.281/2004 consid. 2.3 in SJ 2005 I 221; Widmer/Banz, Commentaire bâlois, OR, 2ème éd., n. 32 ad art. 754 CO). 3.1.2 Dans la détermination du dommage causé à la société par les administrateurs et/ou les réviseurs en raison d'un avis tardif au juge (cf. art. 725 al. 2, 728c al. 3 et 729c CO), la théorie de la différence commande de comparer le montant actuel du patrimoine du lésé et le montant qu'aurait ce même patrimoine si l'événement dommageable ne s'était pas produit (arrêt du Tribunal fédéral 4A_214/2015 du 8 septembre 2015 consid. 3.2). 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"dommage de poursuite d'exploitation" (ATF 136 III 322 consid. 3.2, JdT 2011 II 537; 132 III 342 consid. 2.3.3, JdT 2007 I 51; arrêts du Tribunal fédéral 4A_373/2015 du 26 janvier 2016 consid. 3.4.1; 4A_214/2015 cité consid. 3.2.1). Il ne suffit donc pas au demandeur de présenter l'évolution des fonds étrangers de la société faillie, en particulier en se fondant sur les créances admises à l'état de collocation (ATF 136 III 322 consid. 3.3; 132 III 342 consid. 2.3.3, JdT 2007 I 51; arrêts du Tribunal fédéral 4A_505/2007 du 8 février 2008 consid. 4.2.5; 4C_58/2007 du 25 mai 2007 consid. 4.3). L'ensemble des créances admises à l'état de collocation entré en force peut toutefois constituer un indice d'une détérioration de la situation, en particulier lorsque le dividende de faillite est déjà proche de 0% à la première date de comparaison (ATF 136 III 322 consid. 3.3, arrêts du Tribunal fédéral 4A_214/2015 cité consid. 3.2.1; 4A_373/2015 cité consid. 3.4.1). Dans cette dernière affaire, notre haute Cour a retenu que la preuve de l'état du patrimoine de la société au jour de la faillite n'avait pas été apportée car il ne suffisait pas de se référer au découvert ressortant de l'état de collocation; les biens de la société auraient dû être évalués à leur valeur de liquidation au jour de la faillite (arrêt précité 4A_373/2015 consid. 3.2.1 et 4.2.3; Sauerwein, Le dommage, talon d'Achille de l'action en responsabilité des administrateurs de sociétés en faillite ? in Vers les sommets du droit, 2019, p. 207-222, p. 217 et réf. citées). Dans le calcul du dommage, seule la valeur de liquidation des biens entre en ligne de compte, puisque l'ouverture de la faillite entraîne la dissolution de la société (art. 736 ch. 3 CO) et sa liquidation en conformité des règles de la faillite (art. 740 al. 5 CO).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(ATF 136 III 322 consid. 3.2.1, JdT 2011 II 537; arrêts du Tribunal fédéral 4A_373/2015 cité consid. 3.4.2; 4A_214/2015 cité consid. 3.2.2; 4C.58/2007 cité consid. 2.5). Concrètement, le dommage peut être établi en comparant le dividende de faillite effectif avec celui qui aurait pu être obtenu en avisant le juge à temps. Dans la plupart des cas, les demandeurs sollicitent toutefois des tribunaux de mandater un expert qui aura pour tâche d'établir les valeurs de liquidation aux deux moments déterminants (arrêts du Tribunal fédéral 4A_373/2015 cité consid. 3.4.2; 4A_214/2015 cité consid. 3.2.3; Böckli, Schweizer Aktienrecht, 4e éd. 2009, n. 369a ad § 18). Ce n'est qu'ainsi qu'il est possible de dire si le dommage total (subi par la société) est au moins équivalent aux conclusions prises par le demandeur. Il n'importe à cet égard que le dossier contienne tous les documents et les pièces disponibles (pièces comptables, etc.); il n'incombe pas au juge de reconstituer l'état du patrimoine de la société, seul un expert disposant des connaissances techniques nécessaires pouvant le faire (arrêts du Tribunal fédéral 4A_97/2017 précité; 4A_611/2015 du 19 avril 2016 consid. 3.2.1). 3.1.3 Le demandeur qui exerce l'action sociale en réparation du dommage causé à la société elle-même a la charge de démontrer l'aggravation de la situation financière de la société, soit d'établir, à la valeur de liquidation, l'état du patrimoine de cette société aux deux dates déterminantes. Si le demandeur ne parvient pas à établir le dommage, le juge doit, en application de l'art. 8 CC et de l'art. 42 al. 1 CO, statuer à son détriment (ATF 132 III 689 consid. 4.5; 126 III 189 consid. 2b; arrêt du Tribunal fédéral 4A_214/2015 cité consid. 3.3).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cité consid. 3.3; 4A_691/2014 du 1er avril 2015 consid. 6). 3.2 En l'espèce, l'appelant allègue que la situation financière de C______ s'est dégradée de 7'224'851 fr. 51 entre le 30 septembre 2010 et le 9 décembre 2010. Il calcule l'aggravation financière de la manière suivante : différence entre la perte au bilan établie à la valeur de liquidation selon le bilan intermédiaire du 30 septembre 2010 (6'726'950 fr. 29) et le découvert final au moment de la faillite selon le compte des frais et tableau de distribution des deniers établis par l'office des faillites le 3 octobre 2014 (13'951'801 fr. 81). La question de la validité de cette allégation, soulevée par l'intimée, peut rester indécise, comme l'a relevé le Tribunal à juste titre. L'appelant ne pouvait se contenter de se référer au montant du découvert définitif de la faillite en 13'951'801 fr. 81 ressortant du tableau de distribution des deniers du 3 octobre 2014 pour apporter la preuve de l'état du patrimoine de la société au jour de la faillite, dès lors qu'il ne suffit pas de se fonder sur les créances admises à l'état de collocation au vu de la jurisprudence précitée (cf. not. ATF 136 III 322 ; 132 III 342 ). Par ailleurs, si l'on peut observer dans le tableau de distribution auquel l'appelant fait référence que les dividendes de faillite effectifs, le précité n'a fourni aucune indication quant au dividende de faillite hypothétique qui aurait été versé au jour où la faillite aurait dû être prononcée. Dès lors, le découvert définitif de la faillite ne constitue pas non plus un indice d'une augmentation du surendettement, conformément à la jurisprudence susmentionnée (cf. not. ATF 136 III 322 ; arrêt du Tribunal fédéral 4A_373/2015 précité). Ainsi, pour pouvoir reconstituer le surendettement de la société au moment de la faillite le 9 décembre 2010, les biens de la société auraient dû être évalués à leur valeur de liquidation au jour de la faillite. L'appelant n'a cependant pas fourni de bilan aux valeurs de liquidation à la date de la faillite. Il n'a pas non plus requis de l'expert judiciaire qu'il établisse la valeur de liquidation à la date de la faillite, ni à celle à laquelle la faillite aurait dû être prononcée si l'intimée n'avait pas failli à ses devoirs. Par ailleurs, contrairement à ce qu'a retenu le premier juge, il n'y a pas lieu de faire application de l'art. 42 al. 2 CO, dès lors que l'on pouvait raisonnablement attendre de l'appelant, qui avait obtenu une expertise judiciaire, qu'il demande à l'expert d'évaluer l'état du patrimoine de la société au moment du prononcé de la faillite. La date de la faillite étant connue au moment où l'expertise a été ordonnée par le Tribunal, il ne s'agissait pas d'une preuve impossible à apporter. Au vu de ce qui précède, c'est à juste titre que le Tribunal a retenu que l'appelant avait échoué à apporter la preuve que le surendettement de C______ ne s'était pas accru a minima de 201'805 fr. 56 entre mi-septembre 2010 et le 9 décembre 2010, étant encore relevé qu'il n'incombait pas au premier juge de reconstituer l'état du patrimoine sur la base des éléments du dossier. Infondé, le grief sera rejeté et le jugement entrepris sera confirmé. 4. Les frais judiciaires d'appel seront mis à la charge de l'appelant qui succombe (art. 106 al. 1 CPC). Ils seront fixés à 15'000 fr. (art. 17 et 35 RTFMC) et compensés avec l'avance fournie par l'appelant, qui reste acquise à l'Etat de Genève (art. 111 al. 1 CPC). L'appelant sera condamné aux dépens d'appel de l'intimée, arrêtés à 5'500 fr., débours et TVA compris (art. 84, 85 et 90 RTFMC; art. 25 et 26 LaCC). * * * * * PAR CES MOTIFS, La Chambre civile : A la forme : Déclare recevable l'appel interjeté le 18 août 2021 par A______ contre le jugement JTPI/7654/2021 rendu le 10 juin 2021 par le Tribunal de première instance dans la cause C/11803/2014. Au fond : Confirme le jugement entrepris. Déboute les parties de toutes autres conclusions. Sur les frais : Arrête les frais judiciaires d'appel à 15'000 fr., les met à la charge de A______ et les compense à concurrence de ce montant avec l'avance de frais versée par celui-ci qui demeure acquise à l'Etat de Genève. Condamne A______ à verser 5'500 fr. TTC à B______ SA, à titre de dépens d'appel.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