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C/11648/2014 vom 5. Dezember 2014</w:t>
      </w:r>
    </w:p>
    <w:p>
      <w:r>
        <w:t>GE Cour de justice, 2014-12-05, FR</w:t>
      </w:r>
    </w:p>
    <w:p>
      <w:r>
        <w:rPr>
          <w:b/>
        </w:rPr>
        <w:t xml:space="preserve">Quelle: </w:t>
      </w:r>
      <w:r>
        <w:t>https://mcp.opencaselaw.ch/entscheid/ge_gerichte_C_11648_2014</w:t>
      </w:r>
    </w:p>
    <w:p>
      <w:r>
        <w:t>FR: GE_GERICHTE C/11648/2014 du 5 décembre 2014</w:t>
      </w:r>
    </w:p>
    <w:p>
      <w:r>
        <w:t>IT: GE_GERICHTE C/11648/2014 del 5 dicembre 2014</w:t>
      </w:r>
    </w:p>
    <w:p>
      <w:pPr>
        <w:pStyle w:val="Heading2"/>
      </w:pPr>
      <w:r>
        <w:t>Regeste</w:t>
      </w:r>
    </w:p>
    <w:p>
      <w:r>
        <w:t>PROTECTION DE L'UNION CONJUGALE; EFFET SUSPENSIF; DOMMAGE IRRÉPARABLE; OBLIGATION D'ENTRETIEN | CPC.315</w:t>
      </w:r>
    </w:p>
    <w:p>
      <w:pPr>
        <w:pStyle w:val="Heading2"/>
      </w:pPr>
      <w:r>
        <w:t>Volltext</w:t>
      </w:r>
    </w:p>
    <w:p>
      <w:r>
        <w:t>Genf Cour de Justice (Cour civile) Chambre civile 05.12.2014 C/11648/2014 Genève Cour de Justice (Cour civile) Chambre civile 05.12.2014 C/11648/2014 Ginevra Cour de Justice (Cour civile) Chambre civile 05.12.2014 C/11648/2014</w:t>
      </w:r>
    </w:p>
    <w:p>
      <w:r>
        <w:t>PROTECTION DE L'UNION CONJUGALE; EFFET SUSPENSIF; DOMMAGE IRRÉPARABLE; OBLIGATION D'ENTRETIEN | CPC.315</w:t>
      </w:r>
    </w:p>
    <w:p>
      <w:r>
        <w:t>C/11648/2014 ACJC/1475/2014 du 05.12.2014 sur OTPI/1356/2014 ( SCC ) Descripteurs : PROTECTION DE L'UNION CONJUGALE; EFFET SUSPENSIF; DOMMAGE IRRÉPARABLE; OBLIGATION D'ENTRETIEN Normes : CPC.315 Par ces motifs RÉPUBLIQUE ET CANTON DE GENÈVE POUVOIR JUDICIAIRE C/11648/2014 ACJC/1475/2014 ARRÊT DE LA COUR DE JUSTICE Chambre civile du VENDREDI 5 DECEMBRE 2014 Entre Monsieur A______ , domicilié ______ (GE) appelant d'un jugement rendu par la 12ème Chambre du Tribunal de première instance de ce canton le 16 octobre 2014, comparant par Me Marco Crisante, avocat, 18, rue du Conseil-Général, 1205 Genève, en l'étude duquel il fait élection de domicile aux fins des présentes, et Madame B______ , domiciliée ______ (GE), intimée, comparant par Me Gustavo da Silva, avocat, 7, rue Ferdinand-Hodler, 1207 Genève, en l'étude duquel elle fait élection de domicile. Vu, EN FAIT , l'ordonnance OTPI/1356/2014 du 16 octobre 2014, notifiée le 20 octobre 2014, aux termes de laquelle le Tribunal de première instance, statuant sur mesures provisionnelles dans le cadre de la procédure de divorce, a condamné A______ à verser à B______ à titre de contribution d'entretien la somme de 3'250 fr. par mois à partir du 1 er août 2014 (ch. 1) et arrêté les frais à 1'500 fr., qu'il a mis pour moitié à charge de chaque partie (ch. 2); Vu l'appel déposé le 30 octobre 2014 par A______ au greffe de la Cour de justice par lequel il conclut à l'annulation des chiffres 1 et 2 du dispositif précité et propose de verser la somme mensuelle de 2'300 fr. à titre de contribution d'entretien du 1 er septembre au 31 décembre 2014; Qu'il conclut, à titre préalable, à l'octroi de l'effet suspensif, exposant que s'il obtenait gain de cause en appel, il ne pourrait récupérer le trop-perçu, dès lors que son épouse ne réalise qu'un revenu modeste de 2'800 fr. par mois; Que l'épouse a également formé appel, concluant à une contribution d'entretien de 4'000 fr. par mois; Qu'invitée à se déterminer sur la requête d'effet suspensif, l'intimée s'y oppose, expliquant qu'en cas de trop-perçu, l'appelant pourra compenser celui-ci avec la contribution courante; Considérant, EN DROIT ,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 arrêts du Tribunal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il n'apparaît pas qu'à défaut de l'octroi de l'effet suspensif l'appelant risque de subir un préjudice difficilement réparable; Qu'en effet, l'épouse a donné son accord à la compensation en cas de trop-perçu; Que si la durée de la contribution d'entretien devait être limitée au 31 décembre 2014, l'appelant pourra faire valoir son éventuelle créance en remboursement dans le cadre de la liquidation du régime matrimonial; Que pour le surplus, l'appelant ne soutient pas que le versement de la contribution d'entretien querellée pendant la durée de la procédure d'appel risque de porter atteinte à son minimum vital; Qu'au vu de ce qui précède, la requête de suspension de l'effet exécutoire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 dispositif de l'ordonnance OTPI/1356/2014 rendue le 16 octobre 2014 par le Tribunal de première instance dans la procédure C/11648/2014-12.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