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C/11629/2016 vom 19. Juni 2017</w:t>
      </w:r>
    </w:p>
    <w:p>
      <w:r>
        <w:t>GE Cour de justice, 2017-06-19, FR</w:t>
      </w:r>
    </w:p>
    <w:p>
      <w:r>
        <w:rPr>
          <w:b/>
        </w:rPr>
        <w:t xml:space="preserve">Quelle: </w:t>
      </w:r>
      <w:r>
        <w:t>https://mcp.opencaselaw.ch/entscheid/ge_gerichte_C_11629_2016</w:t>
      </w:r>
    </w:p>
    <w:p>
      <w:r>
        <w:t>FR: GE_GERICHTE C/11629/2016 du 19 juin 2017</w:t>
      </w:r>
    </w:p>
    <w:p>
      <w:r>
        <w:t>IT: GE_GERICHTE C/11629/2016 del 19 giugno 2017</w:t>
      </w:r>
    </w:p>
    <w:p>
      <w:pPr>
        <w:pStyle w:val="Heading2"/>
      </w:pPr>
      <w:r>
        <w:t>Regeste</w:t>
      </w:r>
    </w:p>
    <w:p>
      <w:r>
        <w:t>JUGEMENT DE DIVORCE ; MODIFICATION DES CIRCONSTANCES ; GARDE DE FAIT ; RELATIONS PERSONNELLES | CC.134; CC.273</w:t>
      </w:r>
    </w:p>
    <w:p>
      <w:pPr>
        <w:pStyle w:val="Heading2"/>
      </w:pPr>
      <w:r>
        <w:t>Erwägungen</w:t>
      </w:r>
    </w:p>
    <w:p>
      <w:r>
        <w:rPr>
          <w:b/>
        </w:rPr>
        <w:t>E. 1.1</w:t>
      </w:r>
    </w:p>
    <w:p>
      <w:r>
        <w:t>Le jugement entrepris constitue une décision finale de modification du jugement de divorce, qui statue sur la garde et les relations personnelles des enfants mineurs des parties, soit sur une affaire non patrimoniale, de sorte que la voie de l'appel est ouverte (art. 308 al. 1 let. a CPC). Déposé dans le délai et la forme prescrits par la loi (art. 130 al. 1, 131 145 al. 1 let. b et 311 al. 1 CPC), l'appel est recevable.</w:t>
      </w:r>
    </w:p>
    <w:p>
      <w:r>
        <w:rPr>
          <w:b/>
        </w:rPr>
        <w:t>E. 1.2</w:t>
      </w:r>
    </w:p>
    <w:p>
      <w:r>
        <w:t>La Cour revoit la cause en fait et en droit avec un plein pouvoir d'examen (art. 310 CPC). S'agissant du sort d'enfants mineurs, les maximes d'office et inquisitoire illimitée s'appliquent (art. 296 al. 3 CPC).</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illimitées régissant la procédure (art. 296 CPC), la Cour de céans admet tous les novas (cf. ACJC/544/2017 consid. 2; ACJC/345/2016 consid. 3.1; ACJC/361/2013 consid. 1.3).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rPr>
          <w:b/>
        </w:rPr>
        <w:t>E. 2.2</w:t>
      </w:r>
    </w:p>
    <w:p>
      <w:r>
        <w:t>En l'espèce, les pièces nouvelles produites par les parties avec leurs écritures respectives, ainsi que les faits qu'elles comportent, sont admises à la procédure, dans la mesure où elles concernent la garde des enfants mineurs. En revanche, le courrier produit par l'intimée le 11 janvier 2018, soit plus d'un mois et demi après que la cause a été gardée à juger, est irrecevable. Le document produit avec cette correspondance, ainsi que les éléments nouveaux contenus dans ce dernier, seront donc écartés de la procédure.</w:t>
      </w:r>
    </w:p>
    <w:p>
      <w:r>
        <w:rPr>
          <w:b/>
        </w:rPr>
        <w:t>E. 3</w:t>
      </w:r>
    </w:p>
    <w:p>
      <w:r>
        <w:t>L'appelant estime qu'aucun fait nouveau ne justifie la modification du jugement de divorce et que le bien des enfants ne rend pas nécessaire une telle modification. 3.1.1 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La teneur de l'art 134 al. 1 CC est demeurée inchangée avec l'introduction du nouveau droit. L'art. 134 al. 2 CC n'a pour sa part que peu varié puisqu'il fait désormais référence à la "modification des autres devoirs des pères et mères" et non plus seulement à la "modification des relations personnelles". La jurisprudence développée sous l'empire de l'ancien droit en lien avec la modification de l'attribution de l'autorité parentale et du droit de garde conserve par conséquent toute sa pertinence. Toute modification dans l'attribution de l'autorité parentale ou de la garde de fait suppose ainsi que la nouvelle réglementation soit requise dans l'intérêt de l'enfant à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 er juin 2011 consid. 2.4.1; 5A_697/2009 du 4 mars 2010 consid. 3; 5C.63/2005 du 1 er juin 2005 consid. 2).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3.1.2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(arrêt du Tribunal fédéral 5A_425/2016 du 15 décembre 2016 consid. 3.4.2). Une volonté constante et fermement exprimée par un enfant dont l'âge et le développement - en règle générale à partir de 12 ans révolus - permettent d'en tenir compte est au demeurant à considérer au premier plan (arrêts du Tribunal fédéral 5A_745/2015 du 15 juin 2016 consid. 3.2.2.2; 5A_719/2013 du 17 octobre 2014 consid. 4.4).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3.1.3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2013, n. 4 ad art. 190 CPC; Weibel/Naegeli, in Kommentar zur Schweizerischen Zivilprozessordnung, 2013, n. 8 ad art. 190 CPC;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w:t>
      </w:r>
    </w:p>
    <w:p>
      <w:r>
        <w:rPr>
          <w:b/>
        </w:rPr>
        <w:t>E. 3.2</w:t>
      </w:r>
    </w:p>
    <w:p>
      <w:r>
        <w:t>En l'espèce, les parties rencontrent d'importants problèmes de collaboration depuis, à tout le moins, mai 2016. En effet, le SPMi a constaté à cette date un manque de communication entre les parents ne leur permettant pas de s'accorder sur un cadre éducatif clair, ce qui avait des répercussions sur les enfants. Ces derniers n'arrivaient pas à se concentrer à l'école. Si le SPMi a alors renoncé à proposer au TPAE des mesures de protection, c'est uniquement en raison du fait que la problématique relevait essentiellement de la garde, dont la modification était de la compétence du Tribunal de première instance. Le rapport d'évaluation établi par le SPMi le 17 janvier 2017 atteste de ce que la situation ne s'est pas améliorée depuis lors. La communication entre les parents est inexistante et la garde alternée contribue à impliquer fortement les enfants dans le conflit parental, dans la mesure où les père et mère ne filtrent pas les informations qu'ils leur donnent. Cette implication est également révélée par les propos contradictoires des enfants au SPMi sur leurs conditions d'hébergement auprès de leur père et le souci de D______ de présenter celui-ci comme un parent ayant tout essayé pour garder la famille unie. D______, qui s'entretient avec une éducatrice sociale depuis le mois de mars 2016, est perturbé par cette situation, qui a des répercussions directes sur sa vie scolaire. L'enfant est particulièrement agité et rencontre d'importantes difficultés de concentration. Il se montre par ailleurs apaisé lorsqu'il peut se distancier du conflit, comme lors d'une semaine de camp. Quant à C______, bien qu'il présente de bonnes capacités d'apprentissage, il est en échec scolaire. Selon les informations données par l'intimée et non contestées par l'appelant, il n'est même plus évalué par ses enseignants, a au surplus été exclu d'un camp scolaire en raison de son comportement et ne s'est jamais présenté à l'école durant la semaine concernée. Or, son implication dans le conflit parental contribue à augmenter ses difficultés comportementales et, partant, scolaires. Le manque de collaboration entre les parents ne permet au demeurant pas d'assurer aux enfants un cadre éducatif clair et sécurisant, ce dont ces derniers ont particulièrement besoin au vu de leurs problèmes de conduite. Les faits survenus durant l'été 2017, à savoir le désaccord sur la prise en charge des frais de voyage des enfants, ayant nécessité l'intervention du SPMi, confirme les difficultés persistantes des parents à communiquer et à collaborer. Les messages produits démontrent au surplus l'ampleur du conflit parental, l'ex-épouse craignant notamment que l'appelant découvre son lieu de travail et ce dernier allant jusqu'à soutenir qu'il laisserait les enfants au Kosovo pour la convaincre de financer leurs billets de retour à Genève. Ils attestent également de l'implication constante des enfants dans ce conflit, plus particulièrement d'C______, utilisé comme messager entres ses parents. Compte tenu de ce qui précède, force est de constater qu'en raison des tensions existantes entre les parents et d'un manque de communication et de collaboration, la garde alternée ne fonctionne pas et qu'elle est préjudiciable aux intérêts des enfants. Partant, c'est à juste titre que le Tribunal a admis l'existence de faits nouveaux exigeant la modification de l'attribution de la garde de fait sur les enfants.</w:t>
      </w:r>
    </w:p>
    <w:p>
      <w:r>
        <w:rPr>
          <w:b/>
        </w:rPr>
        <w:t>E. 3.3</w:t>
      </w:r>
    </w:p>
    <w:p>
      <w:r>
        <w:t>Malgré ses problèmes de santé, l'appelant ne présente aucun danger pour les enfants, ce que son épouse admet d'ailleurs en concluant à la réserve en sa faveur d'un large droit de visite. Toutefois, il ressort du dossier qu'C______, qui effectue rarement ses devoirs, arrive souvent, à quinzaine, en classe sans le matériel scolaire requis. Il a par ailleurs manqué l'école pendant une semaine alors qu'il était sous la responsabilité de son père. Quant à D______, d'après les déclarations de l'enfant et de son enseignante, ses conditions de sommeil et d'hygiène chez son père ne sont pas adéquates. Il est parfois fatigué ou absent de l'école lors de ses séjours auprès de l'appelant. Le médecin de celui-ci a par ailleurs évoqué les difficultés de son patient à s'imposer face à ses enfants. Bien que l'appelant soit attentif et investi dans l'éducation de ses fils, il apparaît néanmoins que ces derniers bénéficient d'un meilleur suivi scolaire auprès de leur mère. Celle-ci est au surplus à même de leur donner un cadre éducatif plus contraignant, les enfants ayant besoin, au vu de leur âge et de leur difficultés de comportement, de rencontrer des limites. Certes, les mineurs, âgés respectivement de 15 et 11 ans, ont exprimé leur souhait de pouvoir continuer à voir chacun de leurs parents une semaine sur deux. Au vu de ce qui précède, leur intérêt commande néanmoins que leur garde soit attribuée à leur mère. Si les vœux d'un adolescent de 15 ans doivent en général passer au premier plan, il y a toutefois lieu de constater que le mode de garde actuel nuit au bon développement d'C______. Les motifs avancés par celui-ci en faveur du maintien d'une garde alternée, soit sa préférence pour la méthode éducative de son père, plus permissive, n'apparaissent au demeurant pas servir ses intérêts. C'est donc à juste titre que le Tribunal s'est écarté des recommandations du SPMi en attribuant la garde non seulement de D______ mais également d'C______ à l'intimée. Compte tenu des capacités parentales de la mère et de la mise sous curatelle volontaire de gestion administrative du père, il y a en outre lieu de fixer le domicile légal des mineurs auprès de l'intimée. Le jugement entrepris sera donc confirmé sur ces points.</w:t>
      </w:r>
    </w:p>
    <w:p>
      <w:r>
        <w:rPr>
          <w:b/>
        </w:rPr>
        <w:t>E. 4</w:t>
      </w:r>
    </w:p>
    <w:p>
      <w:r>
        <w:t>4.1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rPr>
          <w:b/>
        </w:rPr>
        <w:t>E. 4.2</w:t>
      </w:r>
    </w:p>
    <w:p>
      <w:r>
        <w:t>En l'espèce, au vu des liens affectifs unissant les enfants à leur père, il y a lieu de réserver à ce dernier un large droit de visite. Les recommandations du SPMi au sujet de celui devant être octroyé sur D______, soit un droit de visite à exercer un week-end sur deux du vendredi après-midi au lundi matin, tous les mercredis de la sortie de l'école au jeudi matin au retour de l'école, et durant la moitié des vacances scolaires apparaissent conformes aux intérêts des mineurs. L'appelant fait grief au premier juge d'avoir exclu les nuits de son droit de visite sur D______ pour une durée illimitée. Or, il résulte du rapport du SMPi que D______ arrive parfois en classe fatigué lorsqu'il est chez son père, qu'il ne dispose pas toujours de conditions de sommeil et d'hygiène adéquates et que plusieurs adultes sont souvent hébergés par l'appelant, ce qui contraint l'enfant à devoir partager sa chambre avec d'autres personnes et à s'endormir avec de la lumière et dans le bruit, parfois à même le sol. Ces conditions d'hébergement compromettent son bon développement, notamment ses facultés de concentration en classe. La restriction imposée aux relations personnelles du père avec son fils cadet est donc en l'état nécessaire pour préserver le bien-être de celui-ci. Par conséquent, les modalités d'exercice des droits de visite fixés par le jugement entrepris seront confirmées.</w:t>
      </w:r>
    </w:p>
    <w:p>
      <w:r>
        <w:rPr>
          <w:b/>
        </w:rPr>
        <w:t>E. 5</w:t>
      </w:r>
    </w:p>
    <w:p>
      <w:r>
        <w:t>L'appelant remet en cause l'instauration d'une curatelle d'organisation et de surveillance, ainsi que de celle d'assistance éducative, le maintien d'une garde alternée étant justifié et le bien des enfants n'ayant jamais été mis gravement en danger. Selon lui, le Tribunal n'était en outre pas fondé à ordonner les suivis psychologiques des enfants, dans la mesure où les parents seraient en mesure de décider ensemble de la mise en place de tels suivis "s'ils devaient estimer cela nécessaire".</w:t>
      </w:r>
    </w:p>
    <w:p>
      <w:r>
        <w:rPr>
          <w:b/>
        </w:rPr>
        <w:t>E. 5.1</w:t>
      </w:r>
    </w:p>
    <w:p>
      <w:r>
        <w:t>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in Commentaire romand, CC I, 2010, n. 8 et 9 ad art. 308 CC). 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op. cit., n. 7 et 8 ad art. 308 CC). Le choix de la mesure sera effectué en respectant les principes de prévention, de subsidiarité, de complémentarité, de proportionnalité et d'adéquation (arrêt du Tribunal fédéral 5A_819/2016 du 21 février 2017 consid. 8.3; Breitschmid, in Commentaire bâlois, 2011, n. 4 et 5 ad art. 307 CC). A teneur de l'art. 308 al. 2 CC, le juge peut aussi nommer un curateur aux fins de surveiller les relations personnelles (art. 308 al. 2 CC). Le curateur aide ainsi les parents à organiser les modalités pratiques de l'exercice du droit de visite (arrêt du Tribunal fédéral 5A_101/2011 du 7 juin 2011 consid. 3.1.4).</w:t>
      </w:r>
    </w:p>
    <w:p>
      <w:r>
        <w:rPr>
          <w:b/>
        </w:rPr>
        <w:t>E. 5.2</w:t>
      </w:r>
    </w:p>
    <w:p>
      <w:r>
        <w:t>En l'espèce, au vu des circonstances, en particulier de la relation parentale conflictuelle et des difficultés rencontrées par les parents, il est indispensable de maintenir les curatelles instaurées par le premier juge, à savoir des curatelles d'assistance éducative, ainsi que d'organisation et de suivi des relations personnelles, afin d'accompagner les parents et de les soutenir dans leurs fonctions parentales et surtout de veiller, dans l'intérêt des enfants, au bon déroulement des relations personnelles entre eux. Le premier juge a à juste titre dit que la mission du curateur d'organisation et de surveillance des relations personnelles consisterait notamment à s'assurer que les enfants ont bien chez leur père une chambre équipée en fonction de leurs besoins, ainsi que des conditions d'hygiène et de sommeil appropriées, à favoriser également la reprise d'une forme de communication parentale et à faire ultérieurement au juge compétent les propositions adaptées, en vue notamment de l'élargissement du droit de visite de D______ aux nuits. Si cette mesure peut paraître contraignante pour l'appelant, elle est néanmoins nécessaire pour préserver le bien-être des enfants, au vu des constatations contenues dans le rapport du SPMi s'agissant des conditions de vie des mineurs chez leur père. Elle sera donc confirmée. Compte tenu des difficultés de conduite d'C______ et D______, il est au demeurant approprié de préciser que le curateur d'assistance éducative devra notamment aider les parents à donner à leurs enfants un cadre éducatif suffisamment contenant, en s'assurant que l'intimée n'ait plus recours aux corrections physiques. Il est également opportun de charger le curateur d'assister l'appelant afin que les enfants aient, sous sa responsabilité, des conditions d'hygiène et le matériel scolaire nécessaires. Enfin, eu égard à l'implication des enfants dans le conflit parental et aux conséquences en résultant sur leur développement, un suivi psychologique est nécessaire pour les deux mineurs. Dans la mesure où l'appelant ne manifeste pas ouvertement son accord avec une telle mesure, et afin de prévenir toute intrusion néfaste du conflit parental dans ce domaine, le suivi psychologique des enfants sera ordonné et le curateur d'assistance éducative devra s'assurer de ce dernier, comme justement prévu par le premier juge. Le jugement entrepris sera donc entièrement confirmé.</w:t>
      </w:r>
    </w:p>
    <w:p>
      <w:r>
        <w:rPr>
          <w:b/>
        </w:rPr>
        <w:t>E. 6</w:t>
      </w:r>
    </w:p>
    <w:p>
      <w:r>
        <w:t>L'appelant, qui succombe, sera condamné aux frais judiciaires d'appel fixés à 1'500 fr. (art. 106 al. 1 CPC; art. 30 et 35 RTFMC). Il sera néanmoins provisoirement exonéré de son versement vu l'octroi de l'assistance juridique (art. 123 al. 1 CPC). Au vu de la nature du litige et les parties n'ayant pris aucune conclusion à ce sujet, les parties conserveront à leur charge leur propres dépens d'appel (art. 107 al. 1 let. c CPC). * * * * * * PAR CES MOTIFS, La Chambre civile : A la forme : Déclare recevable l'appel interjeté par A______ contre le jugement JTPI/8050/2017 rendu le 19 juin 2017 par le Tribunal de première instance dans la cause C/11629/2016-8. Au fond : Confirme ce jugement. Déboute les parties de toutes autres conclusions. Sur les frais : Arrête les frais judiciaires de l'appel à 1'500 fr. et les met à la charge de A______. Dit que les frais judiciaires sont provisoirement supportés par l'Etat de Genève. Dit que chaque partie supporte ses propres dépens d'appel. Siégeant : Madame Ursula ZEHETBAUER GHAVAMI, présidente; Madame Sylvie DROIN, Monsieur Ivo BUETTI, juges; Madame Anne-Lise JAQUIER, greffière. La présidente : Ursula ZEHETBAUER GHAVAMI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