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C/11553/2014 vom 14. März 2016</w:t>
      </w:r>
    </w:p>
    <w:p>
      <w:r>
        <w:t>GE Cour de justice, 2016-03-14, FR</w:t>
      </w:r>
    </w:p>
    <w:p>
      <w:r>
        <w:rPr>
          <w:b/>
        </w:rPr>
        <w:t xml:space="preserve">Quelle: </w:t>
      </w:r>
      <w:r>
        <w:t>https://mcp.opencaselaw.ch/entscheid/ge_gerichte_C_11553_2014</w:t>
      </w:r>
    </w:p>
    <w:p>
      <w:r>
        <w:t>FR: GE_GERICHTE C/11553/2014 du 14 mars 2016</w:t>
      </w:r>
    </w:p>
    <w:p>
      <w:r>
        <w:t>IT: GE_GERICHTE C/11553/2014 del 14 marzo 2016</w:t>
      </w:r>
    </w:p>
    <w:p>
      <w:pPr>
        <w:pStyle w:val="Heading2"/>
      </w:pPr>
      <w:r>
        <w:t>Regeste</w:t>
      </w:r>
    </w:p>
    <w:p>
      <w:r>
        <w:t>EXPERTISE; EFFET SUSPENSIF | CPC.325</w:t>
      </w:r>
    </w:p>
    <w:p>
      <w:pPr>
        <w:pStyle w:val="Heading2"/>
      </w:pPr>
      <w:r>
        <w:t>Erwägungen</w:t>
      </w:r>
    </w:p>
    <w:p>
      <w:r>
        <w:rPr>
          <w:b/>
        </w:rPr>
        <w:t>E. 31</w:t>
      </w:r>
    </w:p>
    <w:p>
      <w:r>
        <w:t>décembre 2015 et à la valeur d'une part de la société selon le bilan au 31 décembre 2015, dans le délai imparti; Que, de surcroît, s'il fallait retenir que l'ordonnance querellée écarterait d'ores et déjà ces questions, le recourant pourra, le cas échéant en cas de jugement lui étant défavorable, contester ces points en appel contre le jugement au fond, l'instance d'appel ayant en outre la possibilité d'administrer des preuves (art. 316 al. 3 CPC) ou de renvoyer la cause en première instance pour complément d'instruction (art. 318 al. 1 let. c CPC); Que le seul prolongement de la procédure qui en résulterait ne constitue pas un préjudice difficilement réparable; Que, partant, il y a lieu de refuser l'octroi de l'effet suspensif;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