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C/11399/2018 vom 23. November 2018</w:t>
      </w:r>
    </w:p>
    <w:p>
      <w:r>
        <w:t>GE Cour de justice, 2018-11-23, FR</w:t>
      </w:r>
    </w:p>
    <w:p>
      <w:r>
        <w:rPr>
          <w:b/>
        </w:rPr>
        <w:t xml:space="preserve">Quelle: </w:t>
      </w:r>
      <w:r>
        <w:t>https://mcp.opencaselaw.ch/entscheid/ge_gerichte_C_11399_2018</w:t>
      </w:r>
    </w:p>
    <w:p>
      <w:r>
        <w:t>FR: GE_GERICHTE C/11399/2018 du 23 novembre 2018</w:t>
      </w:r>
    </w:p>
    <w:p>
      <w:r>
        <w:t>IT: GE_GERICHTE C/11399/2018 del 23 novembre 2018</w:t>
      </w:r>
    </w:p>
    <w:p>
      <w:pPr>
        <w:pStyle w:val="Heading2"/>
      </w:pPr>
      <w:r>
        <w:t>Regeste</w:t>
      </w:r>
    </w:p>
    <w:p>
      <w:r>
        <w:t>CLASSEMENT DE LA PROCÉDURE; POURSUITE POUR DETTES ; MESURE PROVISIONNELLE ; SUSPENSION DE LA PROCÉDURE ; MANDAT ; HONORAIRES | LP.85a; CO.394; CO.398.al2; CO.394.al3</w:t>
      </w:r>
    </w:p>
    <w:p>
      <w:pPr>
        <w:pStyle w:val="Heading2"/>
      </w:pPr>
      <w:r>
        <w:t>Erwägungen</w:t>
      </w:r>
    </w:p>
    <w:p>
      <w:r>
        <w:rPr>
          <w:b/>
        </w:rPr>
        <w:t>E. 1</w:t>
      </w:r>
    </w:p>
    <w:p>
      <w:r>
        <w:t>1.1 Selon l'art. 308 al. 1 let. b et al. 2 CPC, l'appel est recevable contre les décisions de première instance sur les mesures provisionnelles, auxquelles la procédure sommaire est applicable (art. 248 let. d CPC), si la valeur litigieuse est d'au moins 10'000 fr. En l'espèce, la valeur litigieuse s'élève à 500'000 fr., de sorte que la voie de l'appel est ouverte. Déposé dans le délai utile de dix jours (art. 142 al. 3, 248 let. d, et 314 al. 1 CPC) et selon la forme prescrite par la loi (art. 130, 131 et 311 CPC). Il en va de même de la réponse de l'intimé (art. 312 CPC), ainsi que des déterminations subséquentes des parties (ATF 138 I 154 consid. 2.3.3 et 133 I 98 consid. 2.2; arrêt du Tribunal fédéral 4A_680/2012 du 7 mars 2013 consid. 2.2).</w:t>
      </w:r>
    </w:p>
    <w:p>
      <w:r>
        <w:rPr>
          <w:b/>
        </w:rPr>
        <w:t>E. 1.2</w:t>
      </w:r>
    </w:p>
    <w:p>
      <w:r>
        <w:t>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(ATF 131 III 473 consid. 2.3; arrêts du Tribunal fédéral 5A_442/2013 du 24 juillet 2013 consid. 2.1 et 5.1; 2C_611/2011 du 16 décembre 2011, consid. 4.2). Les moyens de preuve sont, en principe, limités à ceux qui sont immédiatement disponibles (art. 254 CPC; Hohl, Procédure civile, Tome II, 2ème éd., 2010, p. 283 n. 1556). La preuve est généralement apportée par titre au sens de l'art. 177 CPC et, sauf exception, la maxime des débats s'applique (art. 55 al. 1 CPC; Bohnet, in Procédure civile suisse, Les grands thèmes pour les praticiens, Neuchâtel, 2010, p. 201 s.). Le requérant est ainsi tenu d'apporter tous les faits pertinents à l'appui de sa prétention et de produire les preuves qui s'y rapportent.</w:t>
      </w:r>
    </w:p>
    <w:p>
      <w:r>
        <w:rPr>
          <w:b/>
        </w:rPr>
        <w:t>E. 2</w:t>
      </w:r>
    </w:p>
    <w:p>
      <w:r>
        <w:t>L'appelante conteste la recevabilité de la pièce 23 produite par l'intimé à l'appui de sa réponse.</w:t>
      </w:r>
    </w:p>
    <w:p>
      <w:r>
        <w:rPr>
          <w:b/>
        </w:rPr>
        <w:t>E. 2.1</w:t>
      </w:r>
    </w:p>
    <w:p>
      <w:r>
        <w:t>La Cour examine, en principe, d'office la recevabilité des faits et les moyens de preuve nouveaux en appel (Reetz/Hilber, Kommentar zur Schweizerischen Zivilprozessordnung [ZPO], 2016,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CPC).</w:t>
      </w:r>
    </w:p>
    <w:p>
      <w:r>
        <w:rPr>
          <w:b/>
        </w:rPr>
        <w:t>E. 2.2</w:t>
      </w:r>
    </w:p>
    <w:p>
      <w:r>
        <w:t>En l'espèce, la pièce nouvellement produite date du 22 septembre 2014. L'intimé soutient l'avoir produite immédiatement après l'avoir retrouvée. Même si, comme l'allègue l'intimé, le dossier est volumineux, cette circonstance n'allège pas l'obligation des parties d'alléguer les faits pertinents et de produire les pièces y relatives en première instance déjà. Ainsi, cette pièce aurait pu et dû être versée à la procédure de première instance, de sorte qu'elle est irrecevable.</w:t>
      </w:r>
    </w:p>
    <w:p>
      <w:r>
        <w:rPr>
          <w:b/>
        </w:rPr>
        <w:t>E. 3</w:t>
      </w:r>
    </w:p>
    <w:p>
      <w:r>
        <w:t>L'appelant reproche au Tribunal de ne pas avoir accordé les mesures provisionnelles requises.</w:t>
      </w:r>
    </w:p>
    <w:p>
      <w:r>
        <w:rPr>
          <w:b/>
        </w:rPr>
        <w:t>E. 3.1</w:t>
      </w:r>
    </w:p>
    <w:p>
      <w:r>
        <w:t>Selon l'art. 85a LP, le débiteur poursuivi peut agir en tout temps au for de la poursuite pour faire constater que la dette n'existe pas ou plus, ou qu'un sursis a été accordé (al. 1). S'il admet la demande, le tribunal ordonne l'annulation ou la suspension de la poursuite (al. 3). L'action en annulation de la poursuite a été introduite pour éviter que le débiteur ne fasse l'objet d'une exécution forcée sur son patrimoine alors que sa dette est inexistante ou non exigible (ATF 125 III 149 consid. 2c; arrêts du Tribunal fédéral 5A_270/2013 du 26 juillet 2013 consid. 5.1.2; 5A_953/2012 du 30 janvier 2013 consid. 4.1; 5A_473/2012 du 17 août 2012 consid. 1.1; 5A_712/2008 du 2 décembre 2008 consid. 2.2). Le législateur a ainsi voulu offrir un moyen de défense supplémentaire au poursuivi qui, notamment, a omis de former opposition ou dont l'opposition a été définitivement écartée (ATF 129 III 197 consid. 2.1, 125 III 149 consid. 2c). L'action fondée sur l'art. 85a LP a une double nature. D'une part, en tant qu'action de droit matériel, elle tend à faire constater soit l'inexistence de la dette, soit l'octroi d'un sursis; d'autre part, elle produit des effets en droit des poursuites, étant donné qu'elle tend à faire annuler ou suspendre la poursuite, ce qui constitue son but principal, raison pour laquelle elle n'est ouverte que si la poursuite est pendante, à savoir jusqu'à la distribution des deniers ou l'ouverture de la faillite (ATF 132 III 89 consid. 1.1; 127 III 41 consid. 4a; 125 III 149 consid. 2c; arrêts du Tribunal fédéral 5A_270/2013 du 26 juillet 2013 consid. 1; 5P.337/2006 du 27 novembre 2006 consid. 4, publié in Pra 2007 (59) p. 393). Dans la mesure où, après avoir entendu les parties et examiné les pièces produites, le juge estime que la demande est très vraisemblablement fondée, il ordonne la suspension provisoire de la poursuite, s'il s'agit d'une poursuite par voie de saisie ou en réalisation de gage, avant la réalisation ou, si celle-ci a déjà eu lieu, avant la distribution des deniers (art. 85a al. 2 LP). Très vraisemblablement fondée signifie que les chances de succès du débiteur apparaissent nettement supérieures à celles du créancier (arrêt du Tribunal fédéral 4D_68/2008 du 28 juillet 2008 consid. 2; Bodmer/Bangert, in Basler Kommentar, SchKG I, 2e éd., 2010, n. 21 ad art. 85a LP). Le degré de preuve requis dépasse ainsi la simple vraisemblance (Schmidt, Commentaire Romand, Poursuite et faillite, 2005, n. 8 ad art. 85a LP). L'art. 85a al. 2 LP permet au débiteur d'obtenir la suspension provisoire de la poursuite de façon à empêcher l'ouverture de sa faillite, respectivement la distribution des deniers, avant qu'il ne soit statué sur son action au fond, dès lors que cela rendrait sans objet l'action en annulation de l'art. 85a al. 1 LP (ATF 125 III 149 consid. 2c; arrêt du Tribunal fédéral 5A_473/2012 du 17 août 2012 consid. 1.1).</w:t>
      </w:r>
    </w:p>
    <w:p>
      <w:r>
        <w:rPr>
          <w:b/>
        </w:rPr>
        <w:t>E. 3.2</w:t>
      </w:r>
    </w:p>
    <w:p>
      <w:r>
        <w:t>Selon l'art. 394 CO, le mandat est le contrat par lequel le mandataire s'oblige, dans les termes de la convention, à gérer l'affaire dont il s'est chargé ou à rendre les services qu'il a promis (al. 1). Le mandataire est responsable envers le mandant de la bonne et fidèle exécution du mandat (art. 398 al. 2 CO). Selon la jurisprudence, le mandataire a droit à des honoraires, parfois réduits, en dépit d'une exécution défectueuse du mandat. En effet, 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même rémunération qui serait équitablement due à un mandataire diligent; ce n'est que dans le cas où l'exécution défectueuse du mandat est assimilable à une totale inexécution, se révélant inutile ou inutilisable, que le mandataire peut perdre son droit à une rémunération (cf. ATF 124 III 423 consid. 3b et 4a; arrêts du Tribunal fédéral 4A_267/2010 du 28 juillet 2010 consid. 3; 4C.323/1999 du 22 décembre 1999 consid. 1b, in SJ 2000 I p. 485). Une rémunération est due au mandataire si la convention ou l'usage lui en assure une (art. 394 al. 3 CO). La convention de rémunération peut être expresse ou tacite et intervenir soit au moment de la conclusion du contrat, soit postérieurement. Il incombe au mandataire qui réclame une rémunération de prouver les circonstances permettant de constater l'existence d'un accord des parties. La convention de rémunération concerne tant le principe de la rémunération que le montant de celle-ci, qui peut être fixé par référence à des tarifs (arrêt du Tribunal fédéral 4A_100/2008 du 29 mai 2008 consid. 4.1).</w:t>
      </w:r>
    </w:p>
    <w:p>
      <w:r>
        <w:rPr>
          <w:b/>
        </w:rPr>
        <w:t>E. 3.3</w:t>
      </w:r>
    </w:p>
    <w:p>
      <w:r>
        <w:t>En l'espèce, il est constant que les parties ont été liées par un contrat de mandat, l'intimé s'étant occupé de la comptabilité et de la rédaction des déclarations d'impôts de plusieurs sociétés dont l'appelant est administrateur, ainsi que des déclarations d'impôts personnelles de précité, de 2011 à 2014. Les parties ont également admis que l'appelant avait versé chaque semaine 200 fr. en espèces à l'intimé à ce titre. Ce faisant, l'appelant a admis que les services fournis par l'intimé devaient être rémunérés. Il s'ensuit que l'intimé a droit à un salaire. Les parties divergent toutefois sur l'ampleur du montant salaire dû à l'intimé pour les prestations qu'il a effectuées, ainsi que la partie débitrice de celui-ci, l'appelant soutenant qu'il n'est en tout état de cause pas tenu personnellement responsable de verser les éventuels honoraires concernant la comptabilité et les déclarations fiscales des diverses sociétés. Il ne peut, à ce stade de la procédure et sans investigations complémentaires, être déterminé si les mandats confiés par l'appelant à l'intimé concernant les sociétés dont il était soit administrateur, soit actionnaire, l'ont été au nom de celles-ci, en son nom propre, voire s'il est codébiteur des honoraires dus. Cette question devra être tranchée dans la procédure au fond en annulation de poursuite. La poursuite en cause a pour fondement la note d'honoraires établie par l'intimé le 12 janvier 2015, d'un montant de 500'000 fr., correspondant à 2'000 heures de travail au tarif horaire de 250 fr. Il en résulte que l'intimé a exercé, entre 2011 et 2014, plusieurs activités, tant pour l'appelant que pour plusieurs autres sociétés. L'appelant conteste tant avoir reçu cette facture, que le montant de celle-ci. Sur le premier point, le Cour relève que c'est à la suite de l'intervention d'une connaissance commune des parties, à la demande de l'appelant, en vue de trouver une solution amiable, que ladite note d'honoraires a été établie. Cette personne a d'ailleurs indiqué à l'intimé qu'il était normal que ce dernier soit payé pour le travail accompli. On voit dès lors mal pour quel motif l'appelant aurait sollicité l'aide d'un tiers pour régler la problématique du salaire de l'intimé, si des honoraires n'avaient pas été dus à l'intimé, en particulier en lien avec l'activité déployée pour les sociétés. Par ailleurs, il n'aurait pas été nécessaire de tenter de trouver une solution concernant le salaire dû par l'appelant concernant ses déclarations fiscales personnelles, si le montant de 200 fr. versé chaque semaine était suffisant. Par conséquent, l'intimé a rendu vraisemblable la créance due par l'appelant, ce que le premier juge a retenu à bon droit. L'appelant soutient que l'intimé n'a, dans les faits, pas exercé les activités pour lesquelles il avait été mandaté. Il n'a toutefois pas produit de pièces permettant d'étayer cette allégation. Par ailleurs, alors qu'il allègue avoir constaté, courant 2013, que l'intimé n'exécutait pas correctement ses engagements contractuels, et avoir ainsi résilié les mandats, il résulte des pièces versées à la procédure qu'il a encore établi des procurations en faveur de l'intimé, notamment les 2 juillet 2013 et 29 juillet 2014. Enfin, à ce stade de la procédure, les éléments au dossier ne sont pas suffisants pour retenir l'existence très vraisemblable d'une absence d'obligation de l'appelant de rétribuer les services fournis par l'intimé. Compte tenu de ce qui précède, l'appelant échoue à rendre très vraisemblable l'inexistence de sa dette, de sorte que le Tribunal a, à bon droit, rejeté sa requête en suspension provisoire de la poursuite.</w:t>
      </w:r>
    </w:p>
    <w:p>
      <w:r>
        <w:rPr>
          <w:b/>
        </w:rPr>
        <w:t>E. 3.4</w:t>
      </w:r>
    </w:p>
    <w:p>
      <w:r>
        <w:t>L'ordonnance entreprise sera donc confirmée.</w:t>
      </w:r>
    </w:p>
    <w:p>
      <w:r>
        <w:rPr>
          <w:b/>
        </w:rPr>
        <w:t>E. 3.5</w:t>
      </w:r>
    </w:p>
    <w:p>
      <w:r>
        <w:t>Au vu de la présente décision, la conclusion de l'intimé visant à la révocation de la décision sur effet suspensif est devenue sans objet.</w:t>
      </w:r>
    </w:p>
    <w:p>
      <w:r>
        <w:rPr>
          <w:b/>
        </w:rPr>
        <w:t>E. 4</w:t>
      </w:r>
    </w:p>
    <w:p>
      <w:r>
        <w:t>L'appelant, qui succombe, supportera les frais de son appel (art. 106 al. 1 CPC), arrêtés à 1'500 fr. (art. 48 et 61 OELP), couverts par l'avance de frais versée par l'appelant, acquise à l'Etat de Genève. Il sera également condamné aux dépens de l'appel de l'intimé, arrêtés à 1'500 fr., débours et TVA compris (art. 84, 85, 89, 90 RTFMC, art. 25 et 26 LaCC). * * * * * PAR CES MOTIFS, La Chambre civile : A la forme : Déclare recevable l'appel interjeté le 13 août 2018 par A______ contre l'ordonnance OTPI/490/2018 rendue le 26 juillet 2018 par le Tribunal de première instance dans la cause C/11399/2018-19 SP. Au fond : Confirme cette ordonnance. Déboute les parties de toutes autres conclusions. Sur les frais : Arrête les frais judiciaires d'appel à 1'500 fr., les met à la charge de A______, compensés avec l'avance de frais fournie, acquise à l'Etat de Genève. Condamne A______ à verser à B______ la somme de 1'500 fr. à titre de dépens d'appel.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