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C/11331/2021 vom 31. Oktober 2024</w:t>
      </w:r>
    </w:p>
    <w:p>
      <w:r>
        <w:t>GE Cour de justice, 2024-10-31, FR</w:t>
      </w:r>
    </w:p>
    <w:p>
      <w:r>
        <w:rPr>
          <w:b/>
        </w:rPr>
        <w:t xml:space="preserve">Quelle: </w:t>
      </w:r>
      <w:r>
        <w:t>https://mcp.opencaselaw.ch/entscheid/ge_gerichte_C_11331_2021</w:t>
      </w:r>
    </w:p>
    <w:p>
      <w:r>
        <w:t>FR: GE_GERICHTE C/11331/2021 du 31 octobre 2024</w:t>
      </w:r>
    </w:p>
    <w:p>
      <w:r>
        <w:t>IT: GE_GERICHTE C/11331/2021 del 31 ottobre 2024</w:t>
      </w:r>
    </w:p>
    <w:p>
      <w:pPr>
        <w:pStyle w:val="Heading2"/>
      </w:pPr>
      <w:r>
        <w:t>Erwägungen</w:t>
      </w:r>
    </w:p>
    <w:p>
      <w:r>
        <w:rPr>
          <w:b/>
        </w:rPr>
        <w:t>E. 1</w:t>
      </w:r>
    </w:p>
    <w:p>
      <w:r>
        <w:t>". Le droit de visite de la mère devait continuer à s'exercer selon les dernières modalités. Bien qu'ayant indiqué dans les considérants qu'il convenait que chacun des parents poursuive ou entreprenne un suivi psychothérapeutique, le Tribunal n'a pas inscrit cette mesure dans le dispositif du jugement. Concernant les contributions d'entretien, le Tribunal a imputé à la mère un revenu hypothétique de 2'630 fr. nets par mois. Nonobstant cela, elle ne parvenait pas à couvrir ses charges, fixées à 3'319 fr. par mois. B______ exploitait depuis peu un commerce, de sorte que ses revenus n'étaient pas déterminables. Compte tenu de ses obligations familiales, il ne devait pas gagner moins que le salaire qu'il réalisait durant son dernier emploi, soit 3'900 fr. nets par mois. Ses charges mensuelles s'élevant à 2'419 fr., il bénéficiait d'un solde de 1'480 fr. par mois qu'il devait consacrer à l'entretien de ses filles. Les besoins de E______ s'élevant à 389 fr. 85 et ceux de D______ à 197 fr. 20 jusqu'au 31 août 2024 puis 397 fr. 20 dès le 1 er septembre 2024, après paiement des contributions d'entretien fixées à 390 fr. pour E______ et à 200 fr., respectivement 400 fr. pour D______, il lui restait encore 890 fr., respectivement 690 fr. par mois. Les frais extraordinaires des enfants n'étant que futurs et hypothétiques, il n'y avait pas lieu de prévoir que ceux-ci soient pris en charge par l'une des parties. En ce qui concernait la liquidation du régime matrimonial, il n'était pas démontré que les parties disposaient d'une fortune à partager, de sorte que la prétention de A______ en liquidation du régime matrimonial devait être rejetée. Enfin, concernant la contribution d'entretien en faveur de l'ex-épouse, bien que le déficit de celle-ci s'élevait à 690 fr. par mois, le mariage n'avait pas influencé concrètement sa situation financière puisqu'elle n'avait pas travaillé avant cette union et n'avait pas renoncé à exercer une activité lucrative pour se consacrer à ce mariage. Elle ne pouvait ainsi pas prétendre à une contribution d'entretien post divorce en sa faveur. EN DROIT</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Interjetés dans le délai utile de trente jours (art. 142 al. 1 et 311 al. 1 CPC), selon la forme prescrite par la loi (art. 130, 131 et 311 CPC) et auprès de l'autorité compétente (art. 120 al. 1 let. a LOJ), les appels sont recevables. Sont également recevables les réponses respectives des parties (art. 312 CPC) et les écritures subséquentes (art. 316 al. 2 CPC).</w:t>
      </w:r>
    </w:p>
    <w:p>
      <w:r>
        <w:rPr>
          <w:b/>
        </w:rPr>
        <w:t>E. 1.3</w:t>
      </w:r>
    </w:p>
    <w:p>
      <w:r>
        <w:t>La Cour revoit la cause avec un plein pouvoir d'examen (art. 310 CPC), dans la limite des griefs qui sont formulés devant elle (ATF 142 III 413 consid. 2.2.4). La présente cause est soumise aux maximes d'office et inquisitoire illimitée en tant qu'elle concerne l'attribution de l'autorité parentale, les relations personnelles et la contribution d'entretien due aux enfants mineurs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 La maxime des débats et le principe de disposition sont applicables en tant que le litige concerne la contribution d'entretien post-divorce et la liquidation du régime matrimonial (art. 55 al. 1, 58 al. 1 et 277 al. 1 CPC).</w:t>
      </w:r>
    </w:p>
    <w:p>
      <w:r>
        <w:rPr>
          <w:b/>
        </w:rPr>
        <w:t>E. 1.4</w:t>
      </w:r>
    </w:p>
    <w:p>
      <w:r>
        <w:t>Par souci de clarté et pour respecter l'ordre initial des parties, A______ sera désignée ci-après comme l'appelante et B______ comme l'intimé.</w:t>
      </w:r>
    </w:p>
    <w:p>
      <w:r>
        <w:rPr>
          <w:b/>
        </w:rPr>
        <w:t>E. 2</w:t>
      </w:r>
    </w:p>
    <w:p>
      <w:r>
        <w:t>Dans les causes de droit matrimonial concernant les enfants mineurs, où les maximes d'office et inquisitoire illimitée s'appliquent, tous les novas sont admis, même si les conditions de l'art. 317 al. 1 CPC ne sont pas réunies (ATF 144 III 349 consid. 4.2.1). En l'espèce, la pièce nouvellement produite par l'appelante est susceptible d'avoir une influence sur les droits parentaux, de sorte qu'elle est recevable, de même que les faits qui s'y rapportent.</w:t>
      </w:r>
    </w:p>
    <w:p>
      <w:r>
        <w:rPr>
          <w:b/>
        </w:rPr>
        <w:t>E. 3</w:t>
      </w:r>
    </w:p>
    <w:p>
      <w:r>
        <w:t>Les parties sollicitent qu'il soit ordonné au SEASP/SPMi d'établir un rapport d'évaluation complémentaire. L'appelante requiert en outre qu'il soit ordonné à l'intimé de produire un certain nombre de documents concernant sa situation financière, qu'il soit ordonné l'audition de témoins, une nouvelle comparution personnelle des parties et l'apport de la procédure pénale l'opposant à l'intimé ainsi que de la procédure devant le Tribunal de protection.</w:t>
      </w:r>
    </w:p>
    <w:p>
      <w:r>
        <w:rPr>
          <w:b/>
        </w:rPr>
        <w:t>E. 3.1</w:t>
      </w:r>
    </w:p>
    <w:p>
      <w:r>
        <w:t>Aux termes de l'art. 316 al. 1 CPC, l'instance d'appel peut ordonner des débats ou statuer sur pièces. Elle peut aussi administrer des preuves (art. 316 al. 3 CPC).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L'autorité jouit d'un large pouvoir d'appréciation (ATF 142 III 413 consid. 2.2.1; arrêt du Tribunal fédéral 5A_37/2017 du 10 juillet 2017 consid. 3.1.2).</w:t>
      </w:r>
    </w:p>
    <w:p>
      <w:r>
        <w:rPr>
          <w:b/>
        </w:rPr>
        <w:t>E. 3.2</w:t>
      </w:r>
    </w:p>
    <w:p>
      <w:r>
        <w:t>En l'espèce, le rapport complémentaire du SEASP sollicité par les parties n'apporterait rien de supplémentaire au dossier. En effet, même si le rapport du SEASP est daté de plus de deux ans, la famille est également suivie par le SPMi, ce depuis des années, et le Tribunal de protection prend régulièrement des mesures de protection en faveur des enfants, les dernières ayant été prononcées le 11 juin 2024. Il ne se justifie dès lors pas d'ordonner l'établissement d'un rapport complémentaire. S'agissant des documents financiers requis, l'audition de témoins et l'apport des procédures P/5______/2014 et C/6______/2016, ces éléments n'apporteront aucun élément supplémentaire au dossier, susceptible d'ébranler la conviction acquise par la Cour. Celle-ci s'estime suffisamment renseignée pour statuer tant sur les aspects financiers du litige que sur les droits parentaux. Il n'y a pas non plus lieu d'entendre une nouvelle fois les parties, celles-ci s'étant exprimées par écrit dans de nombreuses écritures d'appel. Compte tenu de ce qui précède, les mesures d'instruction requises seront toutes rejetées.</w:t>
      </w:r>
    </w:p>
    <w:p>
      <w:r>
        <w:rPr>
          <w:b/>
        </w:rPr>
        <w:t>E. 4</w:t>
      </w:r>
    </w:p>
    <w:p>
      <w:r>
        <w:t>. L'intimé reproche au Tribunal d'avoir attribué l'autorité parentale exclusive sur les enfants à l'appelante. 4.1.1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conjointe est la règle (art. 296 al. 2, 298a al. 1, 298b al. 2 et 298d al. 1 CC). Dans le cadre d'une procédure de divorce, le juge confie à l'un des parents l'autorité parentale exclusive si le bien de l'enfant le commande (art. 298 al. 1 CC). Il n'est qu'exceptionnellement dérogé au principe de l'autorité parentale conjointe,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(ATF 142 III 53 consid. 3; arrêts du Tribunal fédéral 5A_53/2023 du 21 août 2023 consid. 3.1;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Pour apprécier les critères d'attribution en matière de droits parentaux, le juge dispose d'un large pouvoir d'appréciation (art. 4 CC). 4.1.2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4.2</w:t>
      </w:r>
    </w:p>
    <w:p>
      <w:r>
        <w:t>En l'espèce, dans son rapport du 27 janvier 2022, le SEASP a préconisé l'attribution de l'autorité parentale exclusive à la mère, recommandation que le Tribunal a suivie, écartant l'avis postérieur de la curatrice, entendue en qualité de témoin les 9 mars et 1 er juin 2023, qui préconisait le maintien de l'autorité parentale conjointe. Selon ce témoin, l'intimé disposait de capacité pour décider des questions majeures relatives à ses enfants et il était dans l'intérêt de celles-ci de savoir qu'elles avaient deux parents qui décidaient des points importants de leurs vies. La curatrice craignait que le retrait de l'autorité parentale à l'intimé impliquerait que celui-ci ne serait plus informé des évènements majeurs des enfants au niveau médical. La curatrice a en revanche admis que la collaboration s'avérait douloureuse en l'état mais pensait qu'avec le temps, les parties seraient à même de gérer les questions par téléphone. Cette explication de la curatrice n'emporte pas la conviction de la Cour pour justifier le maintien de l'autorité parentale conjointe. En effet, une communication inexistante entre les parents, telle qu'elle est actuellement, empêche toute forme de coopération dans l'intérêt des enfants. En outre, la possibilité de communication par téléphone entre les parties n'est, pour l'heure, qu'hypothétique. L'intimé n'a pas démontré avoir commencé ou suivre une thérapie lui permettant de reconstruire un canal de communication suffisant et pérenne avec l'appelante. A cela s'ajoute que l'intimé ne mesure pas la portée de son comportement sur le développement des enfants. En effet, le dysfonctionnement des parents, qui avait été délétère pour les enfants, s'est répété avec la nouvelle compagne de l'intimé. Alors que l'appelante s'est remise en question et a entrepris un travail sur elle-même selon l'ordonnance du Tribunal de protection du 11 juin 2024, reprenant le rapport du SPMi, il ne ressort pas de ce rapport que l'intimé en aurait fait de même. Bien que ce dernier aurait réussi à contenir ses émotions et les explosions qui découlaient de leur non gestion, ce changement de comportement est trop récent pour pouvoir constater une réelle prise de conscience de la part de l'intimé. En outre, même si la compagne de l'intimé était sur certains points bénéfique pour les enfants selon la curatrice, il n'en demeure pas moins qu'elle n'a pas dénoncé immédiatement les violences dont elle était également victime de la part de l'intimé, ce en présence de D______ et E______, participant ainsi implicitement au mal-être de celles-ci. A ce propos, il sied de rappeler que, selon le rapport d'expertise du 29 octobre 2021, les enfants avaient évolué dans un environnement relationnel caractérisé par le chaos et l'imprévisibilité des interactions. D______ présentait un trouble émotionnel de l'enfance, et E______ une angoisse de séparation de l'enfance et un trouble de l'acquisition du langage, de type expressif. Depuis lors, en particulier depuis le placement des enfants en foyer, la suspension du droit de visite entre les enfants et l'intimé, puis la reprise des contacts en milieu surveillé, les enfants ont évolué favorablement et acquis les moyens de pouvoir s'individualiser et s'exprimer. L'appelante a atteint les objectifs posés par les éducateurs du foyer et s'est montrée studieuse dans l'application des actes demandés. Elle a parcouru sa part du chemin et il ne pouvait être exigé davantage de sa part selon le SPMi. En outre, elle bénéficie du soutien de son fils majeur, L______, qui offre les garanties nécessaires pour une prise en charge adéquate des enfants. Ainsi, il ressort de ce qui précède que l'éloignement des enfants de leur milieu familial, le travail effectué par l'appelante sur elle-même et l'absence de contact et d'interférence du père avec les décisions importantes à prendre dans la vie des enfants ont été bénéfiques à celles-ci. Par conséquent, c'est à juste titre que le Tribunal a confié l'autorité parentale exclusive des enfants à la mère, à l'exception du droit de déterminer le lieu de résidence des enfants, lequel lui a également été retiré ( cf . consid. 5.2 infra ). Aucune autre mesure, moins incisive, ne permet d'assurer aux mineures la continuité du développement favorable initié. Le chiffre 3 du dispositif du jugement entrepris sera par conséquent confirmé.</w:t>
      </w:r>
    </w:p>
    <w:p>
      <w:r>
        <w:rPr>
          <w:b/>
        </w:rPr>
        <w:t>E. 5</w:t>
      </w:r>
    </w:p>
    <w:p>
      <w:r>
        <w:t>L'appelante reproche au Tribunal d'avoir suspendu son droit de garde et maintenu le placement des enfants au foyer. 5.1.1 Lorsqu'une procédure en divorce est pendante, le juge du divorce possède une compétence générale pour régler les questions liées au sort de l'enfant (autorité parentale, garde, relations personnelles ou participation à la prise en charge et contribution d'entretien; art. 133 al. 1 CC). Par souci d'unification matérielle et d'économie de procédure, cette compétence s'étend également au prononcé de mesures de protection de l'enfant (art. 315a al. 1 CC), pour lesquelles l'autorité de protection dispose ordinairement d'un pouvoir général de décision (Meier, Commentaire romand CC I, 2 ème éd., 2023, n. 14 et 16 ad art. 315 à 315b CC). Le juge du divorce peut prononcer toutes les mesures de protection de l'enfant des art. 307 et ss CC aux conditions matérielles prévues dans ces dispositions. Il peut en particulier retirer aux parents le droit de déterminer la résidence de l'enfant et le placer de manière adéquate (art. 310 CC). Il n'est pas autorisé à déléguer le prononcé desdites mesures à l'autorité de protection (Meier, op. cit. , n. 16 ad art. 315 à 315b CC). Néanmoins, nonobstant l'existence d'une procédure de divorce, l'autorité de protection demeure compétente pour poursuivre une procédure de protection de l'enfant introduite avant la procédure judiciaire (art. 315a al. 3 ch. 1 CC). Cette procédure ne doit toutefois pas être continuée " en vase clos ". Il appartient à l'autorité de protection de signaler son existence au juge matrimonial et de coordonner l'examen du dossier avec lui; celui-ci conserve en effet, malgré la lettre de la loi, une compétence d'agir, qui n'est restreinte qu'en ce sens qu'il ne peut pas faire abstraction des décisions déjà prises si elles ont conservé leur actualité (Meier, Compétences matérielles du juge matrimonial et des autorités de tutelle – considérations théoriques et quelques cas pratiques, RDT 2007 p. 116). Lorsque la procédure devant l'autorité de protection est particulièrement avancée, voire qu'une décision de première instance a déjà été prise, le juge matrimonial ne devrait pas s'en écarter sans motif impérieux (Meier, op. cit. , n. 21 ad art. 315 à 315b CC). L'autorité de protection demeure également compétente pour prendre les mesures immédiatement nécessaires à la protection de l'enfant lorsqu'il est probable que le juge ne pourra pas les prendre à temps (art. 315a al. 3 ch. 2 CC). Selon la doctrine majoritaire, ces dispositions s'appliquent par analogie à la réglementation des relations personnelles, compte tenu de la compétence générale dont dispose l'autorité de protection dans la matière (art. 275 al. 1 et 315b al. 2 CC; Meier, op. cit. , n. 24 ad art. 315 à 315b CC; Favre, Délimitations de compétence matérielle entre APEA et juge civil, RJN 2022, p. 33). 5.1.2 Selon l'art. 307 al. 1 CC (cum art. 315a al. 1 CC), le juge prend les mesures nécessaires pour protéger l'enfant si son développement est menacé et que les père et mère n'y remédient pas d'eux-mêmes ou soient hors d'état de le faire. A teneur de l'art. 307 al. 3 CC, le juge peut rappeler les père et mère à leurs devoirs, donner des indications ou instructions relatives au soin, à l'éducation et à la formation de l'enfant, et désigner une personne ou un office qualifiés qui aura un droit de regard et d'information.</w:t>
      </w:r>
    </w:p>
    <w:p>
      <w:r>
        <w:rPr>
          <w:b/>
        </w:rPr>
        <w:t>E. 5.2</w:t>
      </w:r>
    </w:p>
    <w:p>
      <w:r>
        <w:t>En l'espèce, il ressort de l'ordonnance du Tribunal de protection du 11 juin 2024 que le placement en foyer des enfants a été levé suite au prononcé du jugement querellé et que les filles ont été placées auprès de l'appelante dès le 28 juin 2024. L'appelante ne critique pas en soi le fait que le droit de déterminer le lieu de résidence des enfants lui a été retiré temporairement mais sollicite seulement que le placement des enfants en foyer soit levé et que les enfants " reviennent à la maison ". Ainsi, l'appelante ayant obtenu ce qu'elle souhaitait, son grief est devenu sans objet depuis le prononcé de l'ordonnance précitée. Pour le surplus, les parties ne contestent pas l'attribution de la garde exclusive des deux enfants en faveur de la mère, décision qui est conforme aux intérêts de celles-ci. Par conséquent, le chiffre 4 du dispositif du jugement querellé sera confirmé, le chiffre 5 dudit dispositif sera annulé.</w:t>
      </w:r>
    </w:p>
    <w:p>
      <w:r>
        <w:rPr>
          <w:b/>
        </w:rPr>
        <w:t>E. 6</w:t>
      </w:r>
    </w:p>
    <w:p>
      <w:r>
        <w:t>L'intimé fait grief au premier juge de ne pas lui avoir accordé un droit de visite usuel sur les enfants. L'appelante sollicite que l'intimé soit exhorté à entreprendre un suivi thérapeutique régulier. 6.1.1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 cf .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arrêt du Tribunal fédéral 5A_210/2018 du 14 décembre 2018 consid. 2.1). En cas de restriction des relations personnelles fondée sur l'art. 274 al. 2 CC, il faut respecter l'exigence de proportionnalité. Si la présence d'un tiers (comme par exemple un droit de visite accompagné) peut limiter les effets néfastes des relations personnelles sur l'enfant, ces dernières ne peuvent être refusées (arrêt du Tribunal fédéral 5A_530/2018 du 20 février 2019 consid. 4.1).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Quand les contacts ont été interrompus depuis longtemps entre l'enfant et le parent titulaire du droit de visite, il peut être indiqué d'ordonner un droit de visite initialement, et donc temporairement, limité, si cela doit garantir un rapprochement prudent (arrêt du Tribunal fédéral 5A_875/2017 du 6 novembre 2018 consid 3.3).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 du Tribunal fédéral 5A_874/2021 du 13 mai 2022 consid. 4.1.1).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 du Tribunal fédéral 5A_874/2021 précité). Le juge dispose d'un large pouvoir d'appréciation dans la fixation du droit de visite (ATF 127 III 295 consid. 4; 122 III 404 in JdT 1998 I 46 consid. 3d). 6.1.2 Le juge prend les mesures nécessaires pour protéger l'enfant si son développement est menacé et que les père et mère n'y remédient pas d'eux-mêmes ou soient hors d'état de le faire (art. 307 al. 1 CC). Il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w:t>
      </w:r>
    </w:p>
    <w:p>
      <w:r>
        <w:rPr>
          <w:b/>
        </w:rPr>
        <w:t>E. 6.2</w:t>
      </w:r>
    </w:p>
    <w:p>
      <w:r>
        <w:t>En l'espèce, après une période de trois mois de suspension des visites entre l'intimé et les enfants, à savoir du 21 mars 2023 au 30 juin 2023, le droit de visite a repris de manière restreinte et en milieu surveillé, puis a été élargi, par ordonnance du Tribunal de protection du 30 janvier 2024, à un samedi à quinzaine, de 10h à 14h, avec un passage dans un lieu public préétabli. Ce droit de visite a été confirmé par ordonnance du Tribunal de protection du 11 juin 2024. Au vu de cette récente ordonnance du Tribunal de protection, laquelle reprend les recommandations du SPMi, il apparaît que ce droit de visite correspond aux besoins des enfants, lesquelles ont bien évolué depuis sa mise en place en janvier 2024 puisque les enfants ont pu sortir du foyer à la fin du mois de juin 2024. En revanche, à teneur du dossier, il apparaît encore prématuré de prévoir un droit de visite usuel en faveur de l'intimé, tant qu'il ne sera pas constaté que celui-ci est prêt à prendre en charge ses deux enfants à une telle fréquence. Par conséquent, le droit de visite entre l'intimé et ses enfants, tel qu'exercé actuellement, sera confirmé. Partant, le chiffre 6 du dispositif du jugement querellé sera modifié en tant que le droit de visite réservé au père sera maintenu au samedi, de 10h à 14h, à quinzaine, avec un passage dans un lieu public préétabli. L'appelante ayant les enfants placées auprès d'elle, le chiffre 7 du dispositif du jugement attaqué prévoyant un droit de visite en sa faveur sur les filles sera annulé. De même, le chiffre 8 dudit dispositif sera réformé dans le sens que seules les curatelles de surveillance du lieu de placement, d'organisation et de surveillance des relations personnelles entre les enfants et l'intimé et d'assistance éducative seront maintenues. Les autres curatelles en place seront levées. En ce qui concerne la requête de l'appelante tendant à ce que l'intimé soit exhorté à entreprendre un suivi psychothérapeutique, il ressort des considérants du jugement attaqué que l'intimé a été encouragé par le Tribunal à entreprendre un tel suivi. Il ne ressort en revanche pas de la procédure d'appel que l'intimé l'aurait entrepris. Partant, la Cour exhortera, dans le dispositif du présent arrêt, l'intimé à entreprendre un suivi psychothérapeutique.</w:t>
      </w:r>
    </w:p>
    <w:p>
      <w:r>
        <w:rPr>
          <w:b/>
        </w:rPr>
        <w:t>E. 7</w:t>
      </w:r>
    </w:p>
    <w:p>
      <w:r>
        <w:t>Les parties contestent les contributions d'entretien fixées par le premier juge en faveur des enfants. 7.1.1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7.1.2 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 in SJ 2021 I 316; 147 III 293 ;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 Méthodes de calcul, montant, durée et limites, in SJ 2007 II 77, p. 84 s. et 101 s.).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Le Tribunal fédéral admet une part au loyer de 20% pour un enfant et 15% par enfant pour deux enfants (arrêt du Tribunal fédéral 5A_952/2019 du 2 décembre 2020 consid. 5.3.3.3).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 petite tête ") et de deux parts pour les adultes (" grandes têtes ") (ATF 147 III 265 consid. 7.3). 7.1.3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Lorsqu'il entend tenir compte d'un revenu hypothétique, le juge doit examiner deux conditions cumulatives.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 7.1.4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(Bastons Bulletti, op. cit. , p. 114).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subordonner l'obligation d'entretien à une condition ou à un terme, fixer le dies a quo au moment où le jugement de divorce est entré en force de chose jugée partielle ou ordonner, exceptionnellement, le versement d'une contribution d'entretien avec effet à une date antérieure à l'entrée en force partielle, par exemple à compter du dépôt de la demande en divorce (ATF 142 III 193 consid. 5.3; 141 III 376 consid. 3.3.4; 127 III 496 consid. 3a et 3b/bb). La jurisprudence a élargi le champ d'application des principes dégagés de l'art. 126 CC, qui concerne initialement la contribution d'entretien de l'époux, à la contribution d'entretien des enfants lorsque des mesures protectrices ou provisionnelles ont été requises et obtenues (ATF 142 III 193 consid. 5.3). Les contributions d'entretien octroyées dans le cadre de mesures protectrices ou provisionnelles sont en principe dues jusqu'au terme de la procédure de divorce. 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compte des critères objectivement justifiables (arrêt du Tribunal fédéral 5A_807/2018 du 28 février 2019 consid. 2.2.3).</w:t>
      </w:r>
    </w:p>
    <w:p>
      <w:r>
        <w:rPr>
          <w:b/>
        </w:rPr>
        <w:t>E. 7.2</w:t>
      </w:r>
    </w:p>
    <w:p>
      <w:r>
        <w:t>En l'espèce, il y a lieu de réexaminer la situation des parties à la lumière des griefs formulés et de la jurisprudence précitée.</w:t>
      </w:r>
    </w:p>
    <w:p>
      <w:r>
        <w:rPr>
          <w:b/>
        </w:rPr>
        <w:t>E. 7.2.1</w:t>
      </w:r>
    </w:p>
    <w:p>
      <w:r>
        <w:t>Le Tribunal a retenu un revenu hypothétique pour l'appelante à hauteur de 2'630 fr. nets par mois que les parties ne contestent pas. Il sera dès lors confirmé.</w:t>
      </w:r>
    </w:p>
    <w:p>
      <w:r>
        <w:rPr>
          <w:b/>
        </w:rPr>
        <w:t>E. 7.2.2</w:t>
      </w:r>
    </w:p>
    <w:p>
      <w:r>
        <w:t>Concernant les revenus de l'intimé, ce dernier conteste le revenu retenu par le premier juge à hauteur de 3'900 fr. nets par mois mais n'apporte aucun élément permettant de justifier de ses revenus d'indépendant. A cet égard, il y a lieu de relever qu'à teneur du contrat de travail qu'il a produit, il est employé depuis le 1 er avril 2022 par Z______ SARL comme aide de cuisine pour un salaire mensuel net d'environ 3'160 fr., société auprès de laquelle il a racheté le fonds de commerce le même jour que la conclusion du contrat de travail. L'intimé n'explique pas l'articulation entre ses deux contrats et il ne produit pas de lettre de résiliation des rapports de travail. C'est dès lors à juste titre que le Tribunal a fixé les revenus de l'intimé à hauteur du dernier salaire perçu par l'intimé. En revanche, le montant retenu par le premier juge à ce titre de 3'900 fr. correspond au revenu brut et non au revenu net. Il y a dès lors lieu de retenir le montant de 3'160 fr. nets par mois.</w:t>
      </w:r>
    </w:p>
    <w:p>
      <w:r>
        <w:rPr>
          <w:b/>
        </w:rPr>
        <w:t>E. 7.2.3</w:t>
      </w:r>
    </w:p>
    <w:p>
      <w:r>
        <w:t>Concernant les charges de l'appelante, c'est à juste titre que celle-ci relève qu'une part de ses frais de logement doit être déduite de ses charges pour être intégrée dans les coûts directs des enfants depuis que ces dernières sont placées auprès d'elle, à savoir, par souci de simplification, depuis le 1 er juillet 2024. Cette part correspond à 986 fr. 30 (70% de 1'409 fr.). Jusqu'au 30 juin 2024, l'intégralité du loyer doit être incluse dans les charges de l'appelante. Depuis cette même date, le montant de base OP de l'appelante s'élève à 1'350 fr. par mois. Auparavant, le montant retenu par le premier juge de 1'200 fr. est conforme aux normes d'insaisissabilité. La prime d'assurance maladie retenue par le Tribunal ne tenant pas compte du subside que l'appelante perçoit et auquel elle a droit, même en prenant en considération le revenu hypothétique précité, la Cour retiendra une prime d'assurance maladie de 308 fr. par mois. Ainsi, les charges mensuelles de l'appelante totalisent, en chiffres arrondis, 2'987 fr. jusqu'au 30 juin 2024 et 2'715 fr. dès le 1 er juillet 2024. Elles comprennent encore 70 fr. de frais de transport. Son déficit s'élève ainsi à 357 fr. par mois (2'630 fr. – 2'987 fr.) jusqu'au 30 juin 2024, puis à 85 fr. par mois (2'630 fr. – 2'715 fr.) dès le 1 er juillet 2024.</w:t>
      </w:r>
    </w:p>
    <w:p>
      <w:r>
        <w:rPr>
          <w:b/>
        </w:rPr>
        <w:t>E. 7.2.4</w:t>
      </w:r>
    </w:p>
    <w:p>
      <w:r>
        <w:t>Les parties ne contestent pas les charges de l'intimé, arrêtées à 2'419 fr. par mois. Celles-ci sont conformes aux pièces produites et seront confirmées. Son solde disponible s'élève ainsi à 741 fr. (3'160 fr. – 2'419 fr.) par mois.</w:t>
      </w:r>
    </w:p>
    <w:p>
      <w:r>
        <w:rPr>
          <w:b/>
        </w:rPr>
        <w:t>E. 7.2.5</w:t>
      </w:r>
    </w:p>
    <w:p>
      <w:r>
        <w:t>S'agissant des enfants, jusqu'au 30 juin 2024, il n'y a pas lieu d'inclure un part de loyer dans leurs charges puisque les enfants étaient placées en foyer. Depuis le 1 er juillet 2024, il y a lieu d'inclure dans les charges des enfants une part de loyer correspondant à 15% du loyer de leur mère, soit 211 fr. 35 par mois et par enfant. En outre, c'est à juste titre que l'appelante soutient qu'il y a lieu d'inclure dans les coûts directs des enfants les frais médicaux non remboursés. Ceux-ci s'élèvent à 52 fr. par mois pour D______. L'appelante n'ayant toutefois fournie aucun justificatif pour E______, il ne sera pas tenu compte de frais médicaux non remboursés dans les coûts directs de celle-ci. Ainsi, les charges mensuelles de D______ s'élèvent, en chiffres arrondis, à 250 fr. jusqu'au 30 juin 2024, à 460 fr. du 1 er juillet 2024 au 31 août 2024 et à 660 fr. dès le 1 er septembre 2024. Elles se composent, en sus de ce qui précède, du montant de base OP de 400 fr. jusqu'au 31 août 2024, puis 600 fr. dès le 1 er septembre 2024, de sa prime d'assurance maladie, subside déduit, de 63 fr. 20 et de son abonnement TPG de 45 fr., sous déduction de 311 fr. d'allocations familiales. Les charges mensuelles de E______ s'élèvent, en chiffres arrondis, à 390 fr. jusqu'au 30 juin 2024 puis à 600 fr. dès le 1 er juillet 2024. Elles comprennent, en sus de ce qui précèdent, le montant de base OP de 600 fr., sa prime d'assurance maladie, subside déduit, de 55 fr. 85 et son abonnement TPG de 45 fr., sous déduction de 311 fr. d'allocations familiales.</w:t>
      </w:r>
    </w:p>
    <w:p>
      <w:r>
        <w:rPr>
          <w:b/>
        </w:rPr>
        <w:t>E. 7.2.6</w:t>
      </w:r>
    </w:p>
    <w:p>
      <w:r>
        <w:t>C'est à juste titre que le premier juge a mis l'intégralité des charges mensuelles des enfants à la charge de l'intimé, dans la mesure de ses moyens. En effet, depuis que les enfants sont placées auprès de leur mère, celle-ci leur fournit l'entretien en nature, de sorte que le père doit contribuer à leur entretien financier. L'intimé n'a toutefois pas suffisamment de disponible pour couvrir l'entretien convenable des enfants à partir du 1 er juillet 2024. Les besoins des enfants variant selon les périodes, il y a lieu de répartir le solde disponible de l'appelant proportionnellement entre les deux enfants. Ainsi, il sera condamné à verser, en mains de l'appelante, par mois et d'avance, allocations familiales en sus, à titre de contribution d'entretien en faveur de D______, 250 fr. jusqu'au 30 juin 2024, 320 fr. du 1 er juillet au 31 août 2024 et 380 fr. dès le 1 er septembre 2024 et, à titre de contribution d'entretien en faveur de E______, 390 fr. jusqu'au 30 juin 2024, 415 fr. du 1 er juillet au 31 août 2024 et 350 fr. dès le 1 er septembre 2024. Le dies a quo de la contribution d'entretien n'étant pas précisé dans le jugement de divorce et les parties n'ayant pas attaqué ce point, il y a lieu de retenir la date du prononcé du jugement de divorce à savoir, par souci de simplification, le 1 er novembre 2023. Le chiffre 10 du dispositif du jugement entrepris sera réformé en conséquence.</w:t>
      </w:r>
    </w:p>
    <w:p>
      <w:r>
        <w:rPr>
          <w:b/>
        </w:rPr>
        <w:t>E. 8</w:t>
      </w:r>
    </w:p>
    <w:p>
      <w:r>
        <w:t>L'appelante sollicite que les parties soient condamnées à prendre en charge par moitié les frais extraordinaires des enfants.</w:t>
      </w:r>
    </w:p>
    <w:p>
      <w:r>
        <w:rPr>
          <w:b/>
        </w:rPr>
        <w:t>E. 8.1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arrêts du Tribunal fédéral 5A_364/2020 du 14 juin 2021 consid. 8.2.2 et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8.2</w:t>
      </w:r>
    </w:p>
    <w:p>
      <w:r>
        <w:t>En l'espèce, c'est à juste titre que le Tribunal n'a pas condamné les parties à prendre en charge la moitié des frais extraordinaires des enfants. L'appelante n'explique pas quels sont les frais extraordinaires concernés. Les parties ne peuvent ainsi pas être condamnées de manière générale et abstraite à prendre en charge la moitié des frais extraordinaires des enfants. Le grief de l'appelante sera ainsi rejeté.</w:t>
      </w:r>
    </w:p>
    <w:p>
      <w:r>
        <w:rPr>
          <w:b/>
        </w:rPr>
        <w:t>E. 9</w:t>
      </w:r>
    </w:p>
    <w:p>
      <w:r>
        <w:t>L'appelante fait grief au Tribunal de ne pas avoir condamné l'intimé à lui verser une soulte au titre de liquidation du régime matrimonial.</w:t>
      </w:r>
    </w:p>
    <w:p>
      <w:r>
        <w:rPr>
          <w:b/>
        </w:rPr>
        <w:t>E. 9.1</w:t>
      </w:r>
    </w:p>
    <w:p>
      <w:r>
        <w:t>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 Quiconque allègue qu'un bien appartient à l'un ou à l'autre des époux est tenu d'en établir la preuve (art. 200 al. 1 CC). A défaut de cette preuve, le bien est présumé appartenir en copropriété aux deux époux (art. 200 al. 2 CC). Tout bien d'un époux est présumé acquêt, sauf preuve du contraire (art. 200 al. 3 CC). S'il y a divorce, séparation de corps, nullité de mariage ou séparation de biens judiciaire, la dissolution du régime rétroagit au jour de la demande (art. 204 al. 2 CC). Selon l'art. 207 al. 1 CC, les acquêts et les biens propres de chaque époux sont disjoints dans leur composition au jour de la dissolution du régime. Des acquêts de chaque époux, réunions et récompenses comprises, on déduit toutes les dettes qui les grèvent pour dégager le bénéfice (art. 210 al. 1 CC). Il n'est pas tenu compte d'un déficit (art. 210 al. 2 CC). Chaque partie doit, si la loi ne prescrit le contraire, prouver les faits qu'elle allègue pour en déduire son droit (art. 8 CC). Cette disposition répartit le fardeau de la preuve et détermine sur cette base qui doit assumer les conséquences de l'échec de la preuve (ATF 129 III 18 ; 131 III 646 ; 132 III 449 ; 132 III 689 ).</w:t>
      </w:r>
    </w:p>
    <w:p>
      <w:r>
        <w:rPr>
          <w:b/>
        </w:rPr>
        <w:t>E. 9.2</w:t>
      </w:r>
    </w:p>
    <w:p>
      <w:r>
        <w:t>En l'espèce, c'est à juste titre que le Tribunal a retenu qu'il n'était pas établi que les parties avaient une fortune mobilière et/ou immobilière à partager. En effet, contrairement à ce que prétend l'appelante, les pièces produites pour les biens immobiliers sont établies au nom d'un tiers et non de l'intimé. S'agissant des comptes bancaires, elle ne rend même pas vraisemblable leur existence. S'agissant du jardin familial, l'appelante n'a pas démontré avoir prêté 7'000 fr. à son époux, comme elle l'allègue, pour acquérir des parts ou constituer une caution. Quoi qu'il en soit, il ressort de la décision du greffe de l'Assistance juridique du 29 mai 2017 que l'intimé a une dette de plus de 7'788 fr., laquelle a été constituée pendant le mariage pour les besoins de la famille. Il apparaît ainsi que le compte de résultat des acquêts de l'intimé est déficitaire. Dans la mesure où il n'est pas tenu compte d'un déficit, il n'y a pas lieu de procéder à un partage et le régime matrimonial est liquidé. L'appelante n'apporte en outre aucun élément permettant au moins de rendre vraisemblable que l'intimé circulerait au volant d'un véhicule haut de gamme ou qu'il aurait acquis un restaurant au prix de 140'000 fr. Le chiffre 11 du dispositif du jugement entrepris sera ainsi confirmé.</w:t>
      </w:r>
    </w:p>
    <w:p>
      <w:r>
        <w:rPr>
          <w:b/>
        </w:rPr>
        <w:t>E. 10</w:t>
      </w:r>
    </w:p>
    <w:p>
      <w:r>
        <w:t>L'appelante reproche au premier juge de ne pas lui avoir accordé de contribution d'entretien en sa faveur, considérant que le mariage n'avait pas eu un impact décisif sur sa vie.</w:t>
      </w:r>
    </w:p>
    <w:p>
      <w:r>
        <w:rPr>
          <w:b/>
        </w:rPr>
        <w:t>E. 10.1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(arrêts du Tribunal fédéral 5A_1036/2021 du 23 septembre 2022 consid. 3.2.1; 5A_510/2021 du 14 juin 2022 consid. 3.1.2). La détermination de la contribution d'entretien est laissée, pour une part importante, à l'appréciation du juge du fait, qui applique les règles du droit et de l'équité (art. 4 CC; ATF 148 III 161 consid. 4.1; arrêts du Tribunal fédéral 5A_464/2022 du 31 janvier 2023 consid. 3.1.1; 5A_1036/2021 du 23 septembre 2022 consid. 3.2.1). Selon la teneur littérale claire de l'art. 125 al. 1 CC,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(ATF 147 III 308 consid. 5.2, arrêt du Tribunal fédéral 5A_464/2022 précité consid. 3.1.1).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Dans cette hypothèse, on admet en effet que la confiance placée par l'époux créancier dans la continuité du mariage et dans le maintien de la répartition des rôles, convenue librement par les conjoints, mérite objectivement d'être protégée (ATF 147 III 249 consid. 3.4; arrêt du Tribunal fédéral 5A_1036/2021 précité consid. 3.2.2).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 arrêt du Tribunal fédéral 5A_1036/2021 précité consid. 3.2.2).</w:t>
      </w:r>
    </w:p>
    <w:p>
      <w:r>
        <w:rPr>
          <w:b/>
        </w:rPr>
        <w:t>E. 10.2</w:t>
      </w:r>
    </w:p>
    <w:p>
      <w:r>
        <w:t>En l'espèce, il est vrai que l'appelante est arrivée en Suisse en raison de son premier mariage et n'a pas exercé d'activité lucrative parce qu'elle s'est consacrée à ses deux enfants aînés. Il n'en demeure pas moins que son second mariage, soit celui avec l'intimé, a également eu un impact sur sa situation financière. En effet, de par la naissance des deux autres enfants et la répartition traditionnelle des tâches convenue entre les parties durant le mariage, lequel a duré près de huit ans jusqu'au dépôt de la demande en divorce, l'appelante n'a pas pu s'insérer sur le marché de l'emploi ni entreprendre une formation. Elle peut ainsi prétendre à une contribution d'entretien en sa faveur. Nonobstant l'imputation du revenu hypothétique de 2'630 fr. par mois, l'appelante ne parvient pas à couvrir ses charges personnelles et subi un déficit allant de 85 fr. à 357 fr. selon les périodes ( cf . consid. 7.2.3 supra ). Le solde disponible de l'intimé, à savoir 741 fr., après paiement des contributions d'entretien en faveur des enfants (250 fr. + 390 fr. du 1 er novembre 2023 au 30 juin 2024, 320 fr. + 415 fr. du 1 er juillet au 31 août 2024 et 380 fr. + 350 fr. dès le 1 er septembre 2024) s'élève à 101 fr. du 1 er novembre 2023 au 30 juin 2024, 6 fr. du 1 er juillet au 31 août 2024 et 11 fr. dès le 1 er septembre 2024. Ces montants ne sont pas suffisants pour couvrir le déficit précité de l'appelante. Le minimum vital du débirentier devant être préservé, il sera, au vu des circonstances, renoncé à fixer une minime contribution d'entretien en faveur de l'appelante du 1 er novembre 2023 au 30 juin 2024. Ensuite, l'intimé ne bénéficiant plus d'aucun solde disponible dès juillet 2024, aucune contribution d'entretien en faveur de l'appelante ne pourra être fixée.</w:t>
      </w:r>
    </w:p>
    <w:p>
      <w:r>
        <w:rPr>
          <w:b/>
        </w:rPr>
        <w:t>E. 11</w:t>
      </w:r>
    </w:p>
    <w:p>
      <w:r>
        <w:t>11.1 Lorsque l'autorité d'appel statue à nouveau, elle se prononce sur les frais de la première instance (art. 318 al. 3 CPC). Les parties ne critiquent pas la quotité des frais de première instance, laquelle est conforme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11.2</w:t>
      </w:r>
    </w:p>
    <w:p>
      <w:r>
        <w:t>Les frais des deux appels, dont il sera fait masse, seront arrêtés à 3'000 fr. (art. 30 et 35 RTFMC) et répartis par moitié entre les parties, compte tenu de la nature familiale et de l'issue du litige (art. 106 al. 2 et 107 al. 1 let. c CPC). Les parties plaidant au bénéfice de l'assistance judiciaire, les frais précités seront provisoirement supportés par l'Etat de Genève, qui pourra en réclamer le remboursement ultérieurement aux conditions fixées par la loi (art. 122 al. 1 let. b, 123 al. 1 CPC et 19 RAJ). Compte tenu de la nature familiale du litige, chaque partie supportera ses propres dépens d'appel (art. 107 al. 1 let. c CPC). * * * * * PAR CES MOTIFS, La Chambre civile : A la forme : Déclare recevable l'appel interjeté le 29 novembre 2023 par A______ contre le jugement JTPI/11744/2023 rendu le 16 octobre 2023 par le Tribunal de première instance dans la cause C/11331/2021. Déclare recevable l'appel interjeté le 22 novembre 2023 par B______ contre le jugement précité. Au fond : Annule les chiffres 5, 6, 7, 8 et 10 du dispositif du jugement précité. Cela fait et statuant à nouveau sur ces points : Maintient le droit de visite sur les enfants précités, réservé à B______ au samedi de 10h à 14h, à quinzaine, avec un passage dans un lieu public préétabli. Exhorte B______ à entreprendre un suivi psychothérapeutique. Maintien la curatelle d'assistance éducative en faveur des enfants D______ et E______, la curatelle d'organisation et de surveillance des relations personnelles entre les enfants, D______ et E______, et B______ et la curatelle de surveillance du lieu de placement des enfants. Lève la curatelle d'organisation et de surveillance des relations personnelles entre les enfants, D______ et E______, et A______, la curatelle de gestion et d'organisation du lieu de placement, la curatelle pour faire valoir les créances alimentaires des enfants, la curatelle de gestion de l'assurance-maladie et la curatelle d'administration des biens des mineures. Dit que l'entretien convenable de l'enfant D______ s'élève à 250 fr. du 1 er novembre 2023 au 30 juin 2024, à 460 fr. du 1 er juillet au 31 août 2024 et à 660 fr. dès le 1 er septembre 2024. Dit que l'entretien convenable de l'enfant E______ s'élève à 390 fr. jusqu'au 30 juin 2024 puis à 600 fr. dès le 1 er juillet 2024. Condamne B______ à verser, en mains de A______, par mois et d'avance, allocations familiales en sus, à titre de contribution d'entretien en faveur de l'enfant D______, 250 fr. du 1 er novembre 2023 au 30 juin 2024, 320 fr. du 1 er juillet au 31 août 2024 et 380 fr. dès le 1 er septembre 2024. Condamne B______ à verser, en mains de A______, par mois et d'avance, allocations familiales en sus, à titre de contribution d'entretien en faveur de l'enfant E______, 390 fr. du 1 er novembre 2023 au 30 juin 2024, 415 fr. du 1 er juillet au 31 août 2024 et 350 fr. dès le 1 er septembre 2024. Dit qu'aucune contribution d'entretien post divorce ne sera due à compter du 1 er novembre 2023. Confirme le jugement entrepris pour le surplus. Déboute les parties de toutes autres conclusions. Sur les frais : Arrête les frais judiciaires des deux appels à 3'000 fr. et les met à la charge de B______ et A______ par moitié entre eux. Laisse provisoirement lesdits frais à la charge de l'Etat de Genève. Dit que chaque partie supportera ses propres dépens d'appel. Siégeant : Monsieur Cédric-Laurent MICHEL, président; Madame Pauline ERARD, Madame Stéphanie MUSY,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