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C/11130/2016 vom 25. August 2016</w:t>
      </w:r>
    </w:p>
    <w:p>
      <w:r>
        <w:t>GE Cour de justice, 2016-08-25, FR</w:t>
      </w:r>
    </w:p>
    <w:p>
      <w:r>
        <w:rPr>
          <w:b/>
        </w:rPr>
        <w:t xml:space="preserve">Quelle: </w:t>
      </w:r>
      <w:r>
        <w:t>https://mcp.opencaselaw.ch/entscheid/ge_gerichte_C_11130_2016</w:t>
      </w:r>
    </w:p>
    <w:p>
      <w:r>
        <w:t>FR: GE_GERICHTE C/11130/2016 du 25 août 2016</w:t>
      </w:r>
    </w:p>
    <w:p>
      <w:r>
        <w:t>IT: GE_GERICHTE C/11130/2016 del 25 agosto 2016</w:t>
      </w:r>
    </w:p>
    <w:p>
      <w:pPr>
        <w:pStyle w:val="Heading2"/>
      </w:pPr>
      <w:r>
        <w:t>Regeste</w:t>
      </w:r>
    </w:p>
    <w:p>
      <w:r>
        <w:t>EXPULSION DE LOCATAIRE ; DROIT D'ÊTRE ENTENDU</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Contre la décision relative à l'exécution de l'évacuation, seule la voie du recours est ouverte (art. 309 let. a CPC). Bien qu'elle indique s'en prendre aux chiffres 1 et 2 du dispositif du jugement, la recourante ne conclut en réalité qu'à l'obtention d'un délai pour l'exécution de l'évacuation, sans remettre en cause le principe de cette évacuation. Partant, son acte est, en dépit de son intitulé, un recours.</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Le recours, qui respecte les dispositions précitées, est recevable.</w:t>
      </w:r>
    </w:p>
    <w:p>
      <w:r>
        <w:rPr>
          <w:b/>
        </w:rPr>
        <w:t>E. 2</w:t>
      </w:r>
    </w:p>
    <w:p>
      <w:r>
        <w:t>Aux termes de l'art. 326 al. 1 CPC, les conclusions, les allégations de faits et les preuves nouvelles sont irrecevables. Les allégués formulés pour la première fois dans le recours et les pièces nouvellement produites ne sont donc pas recevables.</w:t>
      </w:r>
    </w:p>
    <w:p>
      <w:r>
        <w:rPr>
          <w:b/>
        </w:rPr>
        <w:t>E. 3</w:t>
      </w:r>
    </w:p>
    <w:p>
      <w:r>
        <w:t>La recourante reproche au Tribunal une violation de son droit d'être entendue, ainsi qu'une violation du principe de la proportionnalité.</w:t>
      </w:r>
    </w:p>
    <w:p>
      <w:r>
        <w:rPr>
          <w:b/>
        </w:rPr>
        <w:t>E. 3.1</w:t>
      </w:r>
    </w:p>
    <w:p>
      <w:r>
        <w:t>Le droit d'être entendu est un grief de nature formelle (ATF 127 V 431 consid. 3d/aa p. 437 s.), dont la violation entraîne l'annulation de la décision attaquée indépendamment des chances de succès du recours sur le fond (ATF 127 V 431 consid. 3d/aa p. 437), qu'il convient par conséquent d'examiner avant tout autre (ATF 135 I 279 consid. 2.6.1 p. 285; 124 I 49 consid. 1 p. 50) et avec une cognition libre (ATF 121 I 54 consid. 2a p. 57 et les arrêts cités).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p. 157; 137 I 195 consid. 2.3.1 p. 197; 135 II 286 consid. 5.1 p. 293; 133 I 100 consid. 4.3 p. 102; 132 I 42 consid. 3.3.2 p. 46).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rPr>
          <w:b/>
        </w:rPr>
        <w:t>E. 3.2</w:t>
      </w:r>
    </w:p>
    <w:p>
      <w:r>
        <w:t>En l'espèce, la recourante a fait parvenir au Tribunal, à l'appui de sa requête de report d'audience, des certificats médicaux selon lesquels elle était incapable de travailler. Les premiers juges ont manifestement pris en compte ces documents, retenant que l'incapacité de travail - établie pour deux mois au moins - valait impossibilité de comparaître en procédure puisqu'il a été porté au procès-verbal d'audience que la recourante était excusée. Contrairement à l'avis de la partie intimée, le Tribunal n'a donc pas appliqué la procédure du défaut, prévue aux art. 147 ss CPC. Bien que l'excuse de la recourante ait ainsi été retenue, il n'a pas été procédé à une nouvelle convocation, et la décision attaquée a été rendue. Ce procédé apparaît contradictoire. En outre, malgré l'information qui lui était parvenue par le biais des certificats médicaux susmentionnés au sujet d'un élément à tout le moins relatif à la situation personnelle de la recourante, le Tribunal n'en a pas tenu compte dans sa décision, sans motivation. Il s'ensuit que les griefs soulevés par la recourante sont fondés. La décision entreprise sera dès lors annulée. La cause n'étant pas en état d'être jugée, elle sera retournée au Tribunal pour instruction et nouvelle décision (art. 327 al. 1 let. a CPC).</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formé le 23 septembre 2016 par A______ contre le jugement JTBL/763/2016 rendu le 25 août 2016 par le Tribunal des baux et loyers dans la cause C/11130/2016-7-SE. Au fond : Annule ce jugement. Renvoie la cause au Tribunal pour instruction et nouvelle décision. Dit que la procédure est gratuite. Déboute les parties de toutes autres conclusions. Siégeant : Madame Nathalie LANDRY-BARTHE, présidente; Madame Sylvie DROIN, Monsieur Laurent RIEBEN,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