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C/11103/2013 vom 21. Dezember 2015</w:t>
      </w:r>
    </w:p>
    <w:p>
      <w:r>
        <w:t>GE Cour de justice, 2015-12-21, FR</w:t>
      </w:r>
    </w:p>
    <w:p>
      <w:r>
        <w:rPr>
          <w:b/>
        </w:rPr>
        <w:t xml:space="preserve">Quelle: </w:t>
      </w:r>
      <w:r>
        <w:t>https://mcp.opencaselaw.ch/entscheid/ge_gerichte_C_11103_2013</w:t>
      </w:r>
    </w:p>
    <w:p>
      <w:r>
        <w:t>FR: GE_GERICHTE C/11103/2013 du 21 décembre 2015</w:t>
      </w:r>
    </w:p>
    <w:p>
      <w:r>
        <w:t>IT: GE_GERICHTE C/11103/2013 del 21 dicembre 2015</w:t>
      </w:r>
    </w:p>
    <w:p>
      <w:pPr>
        <w:pStyle w:val="Heading2"/>
      </w:pPr>
      <w:r>
        <w:t>Regeste</w:t>
      </w:r>
    </w:p>
    <w:p>
      <w:r>
        <w:t>CLAUSE CONTRACTUELLE; PROHIBITION DE CONCURRENCE; NULLITÉ | CO.340</w:t>
      </w:r>
    </w:p>
    <w:p>
      <w:pPr>
        <w:pStyle w:val="Heading2"/>
      </w:pPr>
      <w:r>
        <w:t>Erwägungen</w:t>
      </w:r>
    </w:p>
    <w:p>
      <w:r>
        <w:rPr>
          <w:b/>
        </w:rPr>
        <w:t>E. 16</w:t>
      </w:r>
    </w:p>
    <w:p>
      <w:r>
        <w:t>septembre 2013, A______ a assigné B______ en paiement de la somme de 40'967 fr. 47 avec intérêts moratoires à 5% l'an, avec suite de frais, sous réserve d'amplification. Ladite somme se décompose comme suit : - 31'819 fr. 40 à titre d'indemnité pour violation de la clause de prohibition de concurrence, plus intérêts moratoires à 5% dès le 15 décembre 2012 ; - 9'148 fr. 07 à titre de remboursement des ristournes jusqu'au dépôt de la demande, plus intérêts moratoires à 5% dès le 12 mars 2013. c. Par mémoire de réponse et demande reconventionnelle déposés à l'office postal le 13 décembre 2013, B______ a conclu au déboutement de A______ avec suite de frais et dépens. Sur demande reconventionnelle, il a conclu au versement d'une somme de 19'000 fr. avec intérêts moratoires à 5% l'an dès le 1er août 2013, à titre d'indemnité pour violation de sa personnalité. d. Par réponse à la demande reconventionnelle déposée au greffe du Tribunal le 14 février 2014, A______ a conclu, avec suite des frais, au déboutement de B______ de ses conclusions. e. Par pli LSI reçu au greffe le 2 juillet 2014, A______ a amplifié sa conclusion concernant les ristournes à 13'105 fr. 92 plus intérêts moratoires à 5% dès le 12 mars 2013. f. Le 28 juillet 2014, A______ a déposé une requête de mesures superprovisionnelles et provisionnelles à l'encontre de B______, concluant à ce qu'il soit faite interdiction à ce dernier d'utiliser un site internet identique au sien. Par arrêts des 30 juillet 2014 et 7 novembre 2014, la Cour a rejeté la requête de mesures superprovisionnelles et provisionnelles. g. A______ a persisté dans ses conclusions dans sa plaidoirie écrite du 30 octobre 2014. h. Dans sa plaidoirie finale déposée à l'Office postal le 30 octobre 2014, B______ a informé le Tribunal qu'il avait déposé une plainte pénale à l'encontre de D______ pour faux témoignage le 6 octobre 2014 et a demandé la suspension de la procédure jusqu'à droit connu sur ladite plainte. Il a persisté dans ses conclusions pour le surplus. i. Par pli LSI déposé à l'Office postal le 5 novembre 2014, A______ a contesté la demande de suspension, au motif que B______ avait tardivement informé le Tribunal et la partie adverse du dépôt de la plainte pénale. j. La cause a ensuite été gardée à juger. C. a. Par jugement JTPH/4/2015 du 12 janvier 2015, le Tribunal des Prud'hommes (ci-après : le Tribunal) a déclaré recevables la demande formée le 16 septembre 2013 par A______ contre B______ et la demande reconventionnelle formée le 31 octobre 2013 par ce dernier à l'encontre de A______ (ch. 1 et 2 du dispositif), rejeté la requête de suspension formée par B______ le 30 octobre 2014 (ch. 3), déclaré recevable la modification de la demande formée par B______ contre A______ le 2 juillet 2014 (recte : par A______ contre B______) (ch. 4), condamné B______ à verser à A______ la somme nette de 13'060 fr. 90 avec intérêts moratoires à 5% l'an dès le 31 juillet 2013 (ch. 5) et débouté les parties de toutes autres conclusions (ch. 6). En substance, les premiers juges ont retenu que la suspension de la procédure ne se justifiait pas car ils disposaient de suffisamment d'éléments pour se prononcer sur le sort des prétentions reconventionnelles. Se fondant notamment sur le témoignage de I______ et sur le fait qu'en matière d'assurance relevant de la sphère privée les personnalité et les capacités personnelles du courtier étaient prépondérantes, le Tribunal a considéré que la clause de non concurrence n'était pas valable, le lien de causalité entre la connaissance des clients par B______ et la possibilité de causer un préjudice à A______ n'étant pas donné. Les pièces produites par A______ prouvaient l'existence des contrats résiliés et des ristournes concernant les contrats conclus par B______. Le montant total de la différence entre le compte garantie et les ristournes s'élevait à 13'060 fr. 90, de sorte qu'il devait être fait droit aux conclusions de A______ dans cette mesure. Sur demande reconventionnelle, B______ se fondait sur des contrats privés qui n'avaient rien à voir avec le contrat de travail, de sorte qu'il devait être débouté de ses conclusions en indemnisation pour violation de sa personnalité. b. Par acte du 12 février 2015, A______ forme appel contre ce jugement, dont elle sollicite l'annulation du chiffre 6 du dispositif. Cela fait, elle conclut à la condamnation de B______ à lui payer la somme de 31'819 fr. 40 avec intérêts à 5% dès le 15 décembre 2012, à la confirmation du jugement pour le surplus, et au déboutement de B______ de toutes autres conclusions. A titre préalable, elle sollicite l'audition de I______. c. Par réponse et appel joint du 23 mars 2015, B______ conclut au déboutement de A______ de toutes ses conclusions, avec suite de frais et dépens. Sur appel joint, il conclut à l'annulation du chiffre 5 du dispositif du jugement, et au déboutement de A______ de toutes autres conclusions. Il produit deux pièces nouvelles. d. Par réponse à l'appel joint du 8 mai 2015, A______ conclut au déboutement de B______ de toutes ses conclusions. e. Par réplique du 4 juin 2015, B______ persiste dans ses conclusions. f. A______ n'ayant pas fait usage de son droit à dupliquer, les parties ont été informées par courrier du greffe de la Cour du 30 juin 2015 de ce que la cause était gardée à juger. g. Par souci de clarté, A______ sera désignée ci-après comme l'appelante, et B______ comme l'intimé. EN DROIT 1.             L'appel est recevable contre les décisions finales de première instance, dans les causes non patrimoniales ou dont la valeur litigieuse, au dernier état des conclusions devant l'autorité inférieure, est supérieure à 10'000 fr. (art. 308 al. 1 let. a et al. 2 CPC).![endif]&gt;![if&gt; Il doit être motivé et formé dans les trente jours (art. 311 al. 1 CPC). Respectant les dispositions précitées, le présent appel est recevable. Il en va de même de l'appel joint (art. 313 CPC). 2.             2.1 La Cour examine d'office la recevabilité des pièces produites en appel (Reetz/Hilber, Kommentar zur Schweizerischen Zivilprozessordnung, 2ème éd., 2013, n. 26 ad art. 317 CPC).![endif]&gt;![if&gt;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produites par l'intimé, postérieures à la date à laquelle le Tribunal a gardé la cause à juger, sont recevables, bien que non pertinentes pour l'issue du litige. 3. L'appelante reproche au Tribunal d'avoir violé l'art. 340 CO en retenant, sur la base de faits appréciés de manière erronée, que la clause de non concurrence n'était pas valable. 3.1.1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 consid. 2.2.1; Aubry girardin, in Commentaire du contrat de travail, Dunand/Mahon éd., 2013, n. 25 et 29 ss ad art. 340). Si l'une des conditions posées par l'art. 340 al. 2 CO fait défaut, la clause est entièrement nulle. 3.1.2 Les articles 340 et 340a CO ne concernent que la prohibition de concurrence après la fin des rapports de travail. Pendant la durée de ceux-ci, la prohibition résulte, en cas de contrat de travail, du devoir de fidélité consacré par l'art. 321 al. 1 et 3 CO (arrêt du Tribunal fédéral 4C.210/2005 du 11 novembre 2005 consid. 2). 3.1.3 L'instance d'appel peut administrer des preuves (art.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4.3.2). 3.2.1 En l'espèce, l'appelante n'a pas allégué précisément quelles étaient les tâches de l'intimé, en particulier la nature et l'importance des contacts qu'il devait avoir avec les clients ou des renseignements qu'il devait recueillir ou dont il avait connaissance. Elle n'a pas non plus exposé les démarches qu'elle avait entreprises, en matière de prospection de clientèle. Les objectifs fixés à l'intimé, notamment la conclusion de nombreux contrats d'assurance-maladie ou d'autres assurances, permettent de retenir qu'il incombait à ce dernier d'entreprendre des démarches personnelles en vue de trouver des clients et non pas seulement d'utiliser des listes ou outils fournis par l'appelante. La définition du "nouveau client" figurant à l'art. 7 du contrat, soit "celui qui est entré en relation d'affaires avec A______ uniquement grâce aux efforts de l'employé", corrobore ce qui précède. Deux témoins, anciens clients de l'appelante, ont d'ailleurs fait état des relations personnelles qu'ils entretenaient avec l'intimé. Il ressort sans conteste des déclarations du témoin I______ que celui-ci avait connu l'intimé alors qu'il était employé dans une autre société et avait continué à recourir à ses services lorsqu'il travaillait chez l'appelante, puis lorsqu'il s'était installé comme indépendant, ce qui démontre l'importance des liens personnels entretenus avec l'intimé voire de celle des capacités professionnelles de celui-ci. L'autre témoin, G______, a exposé que l'intimé était un ami de sa fille. Elle ignorait qu'elle était son statut professionnel (employé ou indépendant), preuve que cela lui était indifférent, les liens personnels et les capacités professionnelles apparaissant dès lors prépondérants. Certes l'appelante a fait valoir que plusieurs clients lui avait rapporté avoir été démarchés par l'intimé mais ne souhaitaient pas témoigner. Elle n'a cependant pas fourni le nom de ces personnes ni même interrogé l'intimé sur la relation que celui-ci entretenait avec celles-là. Elle a ainsi échoué à démontrer que l'intimé avait détourné à son profit les efforts de prospection qu'elle avait déployés, lui causant de la sorte un préjudice sensible. La résiliation de plusieurs contrats après le départ de l'intimé est à cet égard insuffisante, sans compter que des contrats ont également été résiliés alors que l'intimé était encore employé de l'appelante et que les témoins entendus ont tous déclaré qu'ils avaient certes conclu de nouveaux contrats avec l'intimé, mais sans résilier ceux les liant à l'appelante. Au vu des considérations qui précèdent, c'est à bon droit que les premiers juges ont retenu que la personnalité et les capacités personnelles de l'intimé étaient prépondérantes, et qu'en conséquence il n'existait pas de lien de causalité entre sa connaissance des clients et la possibilité de causer un préjudice à l'appelante, de sorte que la clause de concurrence n'était pas valable. 3.2.2 Une nouvelle audition du témoin I______ ne se justifie aucunement. Tout d'abord, quoiqu'en dise l'appelante, les propos du témoin sont clairs, s'agissant du moins de sa relation avec l'intimé. De plus, compte tenu des autres éléments figurant au dossier tels que retenus ci-dessus, cette audition ne permettrait pas d'aboutir à une autre solution. 3.2.3 La conclusion, durant la relation contractuelle, de contrats par l'intimé en son propre nom, au détriment de l'appelante n'a pas non plus été établie, de sorte qu'il ne saurait être fait droit aux conclusions de l'appelante pour ce motif non plus. 3.2.4 Le jugement sera confirmé. 4. L'intimé, appelant joint, sans contester le principe du remboursement des commissions perçues pour les contrats résiliés ultérieurement – qui est acquis – reproche au Tribunal d'avoir retenu que le montant allégué par l'appelante et dû par lui à ce titre était établi. 4.1 Chaque partie doit prouver les faits qu'elle allègue pour en déduire son droit (art. 8 CC). La preuve a pour objet les faits pertinents et contestés (art. 150 al. 1 CPC). Pour la partie qui conteste les allégations de l'autre partie, il suffit que sa contestation soit assez précise pour que l'autre partie comprenne quels sont les faits non admis et dont elle devra en conséquence apporter la preuve. Suivant les circonstances, une contestation globale pourra suffire et des exigences plus sévères, analogues à celles qui s'appliquent à la partie qui a la charge de l'allégation, ne pourraient tout au plus s'imposer que dans des circonstances de nécessité en matière de preuve (Beweisnot) (arrêt du Tribunal fédéral 4A_629/2009 du 10 août 2010 c. 4.1, SJ 2011 I 12; ATF 117 II 113 c. 2, JdT 1992 I 307; ATF 115 II 1 c. 4, JdT 1989 I 547; arrêts du Tribunal fédéral 5A_710/2009 du 22 février 2010 c. 2.3.1, 5P.391/2006 du 18 décembre 2006, c. 3.2 et 4P.255/2004 du 18 mars 2005 c. 4.2). Le devoir de contestation ne saurait conduire à un renversement du fardeau de la preuve (art. 8 CC; ATF 115 II 1 et réf., JdT 1989 I 547). Sous cet angle, l'exigence qu'une contestation soit suffisamment concrète pour que l'on puisse déterminer quelles allégations précises du demandeur sont contestées n'est pas contraire au droit fédéral. En ce qui concerne en particulier les décomptes de construction, on peut attendre du maître d'œuvre qu'il expose en détail quelles positions il ne reconnaît pas, afin de donner à l'entrepreneur la possibilité d'apporter des preuves à ce sujet. Ceci résulte déjà du principe de la bonne foi (ATF 117 II 113 c. 2, JdT 1992 I 307). Le tribunal établit sa conviction par une libre appréciation des preuves administrées (art. 157 CPC). 4.2 En l'espèce, l'intimé conteste de manière globale les montants réclamés par l'appelante. Il ne précise pas lesquels de ceux figurant sur les différents décomptes ou justificatifs produits sont admis ou contestés, se limitant à soutenir que l'appelante n'a pas établi les faits sur lesquels elle fonde ses prétentions. Cette manière de faire est critiquable. Cela étant, l'appelante a réclamé, dans sa demande initiale, 12'629 fr. 22 à titre des ristournes dues après le fin du contrat, soit de novembre 2012 à août 2013, dont à déduire 3'481 fr. 15 portés au crédit du compte de caution, soit 9'148 fr. 07. Ce montant a été porté 13'105 fr. 92 le 2 juillet 2014. A l'appui de ses conclusions, l'appelante a produit des tableaux récapitulatifs des ristournes dues par l'intimé et de celles débitées du compte caution (pièces 12 et 14), établis par ses soins, et des relevés émis par les assurances concernées, comprenant le montant des ristournes et le nom des clients visés par lesdites ristournes (soit ceux ayant résiliés les contrats) (annexes à la pièce 14). Les montants figurant sur les tableaux récapitulatifs établis par l'appelante ne correspondent que partiellement à ceux résultant des relevés de ristournes, émis par les assurances concernées. Seuls ces derniers sont propres à établir ce à quoi l'appelante à droit, l'intimé n'ayant pas contesté que l'un ou l'autre des clients figurant sur ces relevés n'était pas le sien. Ainsi, selon les relevés produits sous pièce 14, les ristournes dues de novembre 2012 à avril 2014, pour des contrats imputables à l'intimé mais résiliés ultérieurement, totalisent 17'398 fr. 85. Il convient de déduire de ce montant le solde du compte caution au 31 octobre 2012 tel qu'allégué par l'appelante, soit 3'418 fr. 15. Sur ce dernier point, l'intimé n'a fait que contester en bloc les ristournes et montants portés au crédit du compte caution prises en compte jusqu'au 30 octobre 2012 mais résultant de relevés et fiches de paie signés par lui, de sorte qu'il se justifie de tenir pour établi la somme de 3'418 fr. 15. En conclusion, il est établi que l'intimé doit à l'appelante, au titre des ristournes de novembre 2012 à avril 2014 la somme totale de 13'980 fr. 70, soit 17'398 fr. 85 moins 3'418 fr. 15. Le Tribunal ne pouvant statuer ultra petita , c'est à bon droit qu'il a alloué à l'appelante le plein de ses conclusions. Le jugement sera confirmé sur ce point également. 5. La procédure est gratuite (art. 114 let. c CPC). Il n'est pas alloué de dépens (art. 22 al. 2 LaCC). * * * * * PAR CES MOTIFS, La Chambre des prud'hommes, groupe 4 : A la forme : Reçoit l'appel et l'appel joint formés le 12 février 2015 par A______ et le 23 mars 2015 par B______ contre le jugement JTPH/4/2015 rendu le 12 janvier 2015 dans la cause C/11103/2013-4. Au fond : Confirme le jugement. Déboute les parties de toutes autres conclusions. Dit que la procédure est gratuite. Dit qu'il n'est pas alloué de dépens. Siégeant : Madame Pauline ERARD, présidente; Madame Nadia FAVRE, juge employeur, Madame Christiane VERGARA-PIZZETTA, juge salariée;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