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C/11082/2017 vom 9. April 2018</w:t>
      </w:r>
    </w:p>
    <w:p>
      <w:r>
        <w:t>GE Cour de justice, 2018-04-09, FR</w:t>
      </w:r>
    </w:p>
    <w:p>
      <w:r>
        <w:rPr>
          <w:b/>
        </w:rPr>
        <w:t xml:space="preserve">Quelle: </w:t>
      </w:r>
      <w:r>
        <w:t>https://mcp.opencaselaw.ch/entscheid/ge_gerichte_C_11082_2017</w:t>
      </w:r>
    </w:p>
    <w:p>
      <w:r>
        <w:t>FR: GE_GERICHTE C/11082/2017 du 9 avril 2018</w:t>
      </w:r>
    </w:p>
    <w:p>
      <w:r>
        <w:t>IT: GE_GERICHTE C/11082/2017 del 9 aprile 2018</w:t>
      </w:r>
    </w:p>
    <w:p>
      <w:pPr>
        <w:pStyle w:val="Heading2"/>
      </w:pPr>
      <w:r>
        <w:t>Regeste</w:t>
      </w:r>
    </w:p>
    <w:p>
      <w:r>
        <w:t>CPC.315</w:t>
      </w:r>
    </w:p>
    <w:p>
      <w:pPr>
        <w:pStyle w:val="Heading2"/>
      </w:pPr>
      <w:r>
        <w:t>Volltext</w:t>
      </w:r>
    </w:p>
    <w:p>
      <w:r>
        <w:t>Genf Cour de Justice (Cour civile) Chambre civile 08.05.2018 C/11082/2017 Genève Cour de Justice (Cour civile) Chambre civile 08.05.2018 C/11082/2017 Ginevra Cour de Justice (Cour civile) Chambre civile 08.05.2018 C/11082/2017</w:t>
      </w:r>
    </w:p>
    <w:p>
      <w:r>
        <w:t>C/11082/2017 ACJC/588/2018 du 08.05.2018 sur JTPI/4920/2018 ( SDF ) Normes : CPC.315 Par ces motifs RÉPUBLIQUE ET CANTON DE GENÈVE POUVOIR JUDICIAIRE C/11082/2017 ACJC/588/2018 ARRÊT DE LA COUR DE JUSTICE Chambre civile du mardi 8 mai 2018 Entre Monsieur A______ , domicilié ______, appelant d'un jugement rendu par la 19ème Chambre du Tribunal de première instance de ce canton le 9 avril 2018, comparant par Me Philippe Girod, avocat, boulevard Georges-Favon 24, 1204 Genève, en l'étude duquel il fait élection de domicile, et Madame B______ , domiciliée ______, intimée, comparant par Me Cyril Aellen, avocat, rue du Rhône 61, case postale 3558, 1211 Genève 3, en l'étude duquel elle fait élection de domicile. Attendu, EN FAIT , que par jugement du 9 avril 2018, le Tribunal de première instance, statuant sur mesures protectrices de l'union conjugale, a notamment condamné A______ à verser en mains de B______, par mois et d'avance, allocations familiales non comprises, le montant de 160 fr. par enfant jusqu'en août 2018, puis 680 fr. par enfant dès le mois de septembre 2018 (ch. 4 du dispositif); Que le Tribunal a notamment considéré que compte tenu de l'âge de A______, de ses années de travail avant sa période de chômage et de ses compétences, il pouvait raisonnablement être exigé de lui qu'il trouve rapidement un emploi lui permettant de réaliser un revenu équivalent à celui qu'il réalisait précédemment, de sorte qu'un revenu hypothétique de 4'600 fr. devait lui être imputé à compter de septembre 2018; Que par acte déposé au greffe de la Cour le 20 avril 2018, A______ a formé appel contre le chiffre 4 précité du dispositif du jugement du 9 avril 2018; qu'il a conclu à son annulation en tant qu'il le condamne à verser 680 fr. par enfant à titre de contribution à leur entretien dès le mois de septembre 2018 et à ce qu'il lui soit donné acte de son engagement à verser la somme de 160 fr. par enfant dès le prononcé du jugement entrepris; Qu'il a en outre conclu à la restitution de l'effet suspensif à son appel en tant qu'il était condamné à verser une contribution d'entretien de 680 fr. dès le mois de septembre 2018; Qu'invitée à se déterminer à cet égard,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fournit pas de motivation à l'appui de sa conclusion tendant à l'octroi de l'effet suspensif; Qu'il conteste aux termes de son appel qu'un revenu hypothétique pouvait lui être imputé et que, par conséquent, il est en mesure de verser le montant de 680 fr. fixé par le Tribunal dès septembre 2018; Qu'il ne peut d'emblée être considéré, prima facie , que le Tribunal ne pouvait manifestement pas imputer à l'appelant un revenu hypothétique d'un tel montant; Qu'il ne peut par ailleurs être affirmé, à ce stade, que la Cour n'aura nécessairement pas statué sur le recours le 1 er septembre 2018; Qu'au vu de ce qui précède, la demande tendant à suspendre le caractère exécutoire du ch. 4 du dispositif du jugement attaqué en tant qu'il porte sur les contributions d'entretien dues dès le mois de septembre 2018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du ch. 4 du dispositif du jugement JTPI/4920/2018 rendu le 9 avril 2018 par le Tribunal de première instance dans la cause C/11082/2017 en tant qu'il porte sur les contributions d'entretien dues dès le mois de septembre 2018.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