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C/11075/2018 vom 6. Dezember 2019</w:t>
      </w:r>
    </w:p>
    <w:p>
      <w:r>
        <w:t>GE Cour de justice, 2019-12-06, FR</w:t>
      </w:r>
    </w:p>
    <w:p>
      <w:r>
        <w:rPr>
          <w:b/>
        </w:rPr>
        <w:t xml:space="preserve">Quelle: </w:t>
      </w:r>
      <w:r>
        <w:t>https://mcp.opencaselaw.ch/entscheid/ge_gerichte_C_11075_2018</w:t>
      </w:r>
    </w:p>
    <w:p>
      <w:r>
        <w:t>FR: GE_GERICHTE C/11075/2018 du 6 décembre 2019</w:t>
      </w:r>
    </w:p>
    <w:p>
      <w:r>
        <w:t>IT: GE_GERICHTE C/11075/2018 del 6 dicembre 2019</w:t>
      </w:r>
    </w:p>
    <w:p>
      <w:pPr>
        <w:pStyle w:val="Heading2"/>
      </w:pPr>
      <w:r>
        <w:t>Regeste</w:t>
      </w:r>
    </w:p>
    <w:p>
      <w:r>
        <w:t>LPM.13; LPM.14</w:t>
      </w:r>
    </w:p>
    <w:p>
      <w:pPr>
        <w:pStyle w:val="Heading2"/>
      </w:pPr>
      <w:r>
        <w:t>Erwägungen</w:t>
      </w:r>
    </w:p>
    <w:p>
      <w:r>
        <w:rPr>
          <w:b/>
        </w:rPr>
        <w:t>E. 1.1</w:t>
      </w:r>
    </w:p>
    <w:p>
      <w:r>
        <w:t>La Cour de justice est compétente à raison de la matière pour connaître, en qualité d'instance cantonale unique, des litiges portant sur des droits de propriété intellectuelle, sans égard à la valeur litigieuse, ainsi que des litiges relevant de la loi fédérale du 19 décembre 1986 contre la concurrence déloyale lorsque la valeur litigieuse dépasse 30'000 fr. (art. 5 al. 1 let. a et d CPC; art. 120 al. 1 let. a LOJ). Ces conditions sont en l'espèce réunies, ce qui n'est pas contesté.</w:t>
      </w:r>
    </w:p>
    <w:p>
      <w:r>
        <w:rPr>
          <w:b/>
        </w:rPr>
        <w:t>E. 1.2</w:t>
      </w:r>
    </w:p>
    <w:p>
      <w:r>
        <w:t>La compétence à raison du lieu des juridictions genevoises doit également être admise, nonobstant la domiciliation des parties à l'étranger, compte tenu de la commission en Suisse et notamment à Genève des violations alléguées du droit à la marque (art. 109 al. 2 LDIP) et des règles sur la concurrence déloyale (art. 129 LDIP). Cette compétence n'est pas remise en cause en l'espèce.</w:t>
      </w:r>
    </w:p>
    <w:p>
      <w:r>
        <w:rPr>
          <w:b/>
        </w:rPr>
        <w:t>E. 1.3</w:t>
      </w:r>
    </w:p>
    <w:p>
      <w:r>
        <w:t>Il n'est par ailleurs pas contesté que la demande respecte les exigences de forme prévues aux art. 130 ss et 221 ss CPC.</w:t>
      </w:r>
    </w:p>
    <w:p>
      <w:r>
        <w:rPr>
          <w:b/>
        </w:rPr>
        <w:t>E. 2</w:t>
      </w:r>
    </w:p>
    <w:p>
      <w:r>
        <w:t>La défenderesse remet en cause la recevabilité de la demande, au motif que la demanderesse procèderait de manière abusive et agirait sans disposer d'un intérêt digne de protection. Elle en déduit qu'il n'y aurait pas lieu d'entrer en matière sur les conclusions de celle-ci.</w:t>
      </w:r>
    </w:p>
    <w:p>
      <w:r>
        <w:rPr>
          <w:b/>
        </w:rPr>
        <w:t>E. 2.1</w:t>
      </w:r>
    </w:p>
    <w:p>
      <w:r>
        <w:t>A teneur de l'art. 52 CPC, quiconque participe à la procédure doit se conformer aux règles de la bonne foi. Les cas typiques d'abus de droit sont l'absence d'intérêt à l'exercice d'un droit, l'utilisation d'une institution juridique contrairement à son but, la disproportion manifeste des intérêts en présence, l'exercice d'un droit sans ménagement ou l'attitude contradictoire (ATF 129 III 493 consid. 5.1; 127 III 357 consid. 4c/bb; arrêt du Tribunal fédéral 4A_215/2017 du 15 janvier 2019 consid. 6.1). L'intérêt digne de protection à l'exercice d'une voie de droit est une condition de recevabilité de la demande (art. 59 al. 2 let. a CPC). Faute d'intérêt pour agir, le juge n'entre pas en matière (ATF 127 III 41 consid. 4c, JdT 2000 II 98; 116 II 196 consid. Ib, JdT 1990 I 596). Le demandeur doit obtenir un avantage, factuel ou juridique, du résultat de la procédure (arrêts du Tribunal fédéral 5A_282/2016 du 17 janvier 2017 consid. 3.2.1; 4P.239/2005 du 21 novembre 2005 consid. 4.1).</w:t>
      </w:r>
    </w:p>
    <w:p>
      <w:r>
        <w:rPr>
          <w:b/>
        </w:rPr>
        <w:t>E. 2.2</w:t>
      </w:r>
    </w:p>
    <w:p>
      <w:r>
        <w:t>En l'espèce, la demanderesse a exposé de manière circonstanciée les raisons pour lesquelles elle disposerait de droits préférables à ceux de la défenderesse sur l'utilisation de la dénomination litigieuse. Elle a notamment établi être titulaire d'une marque enregistrée en Suisse depuis plusieurs décennies en relation avec cette dénomination, ce qui n'est pas le cas de la défenderesse. Il n'apparaît dès lors pas que la demanderesse agirait prima facie de manière abusive ou téméraire en ouvrant action contre la défenderesse. Le seul fait que certaines circonstances de fait soient contestées, telles que la date ou les conditions dans lesquelles la demanderesse aurait pris connaissance de l'utilisation de la dénomination litigieuse en Suisse par la défenderesse, ne permet pas de retenir que la demanderesse procéderait nécessairement de mauvaise foi. Sans préjuger du bien-fondé de l'action, il faut également admettre que la demanderesse dispose d'un intérêt digne de protection à agir, dans la mesure où l'interdiction dont elle sollicite qu'elle soit faite à la défenderesse d'utiliser la dénomination litigieuse est susceptible de lui procurer un avantage économique sur le marché suisse des produits concernés. La demanderesse expose notamment de manière plausible que l'utilisation de la dénomination litigieuse par la défenderesse est susceptible de dévaloriser ses propres produits aux yeux des consommateurs helvétiques. Par conséquent, la demande est recevable et le grief doit être écarté.</w:t>
      </w:r>
    </w:p>
    <w:p>
      <w:r>
        <w:rPr>
          <w:b/>
        </w:rPr>
        <w:t>E. 3</w:t>
      </w:r>
    </w:p>
    <w:p>
      <w:r>
        <w:t>Sur le fond, le droit suisse est applicable à la protection de droits de propriété intellectuelle revendiquée en Suisse (art. 110 al. 1 LDIP), ainsi qu'aux prétentions fondées sur des actes de concurrence déloyale déployant des effets sur le marché suisse (art. 136 al. 1 LDIP), ce qui n'est pas contesté.</w:t>
      </w:r>
    </w:p>
    <w:p>
      <w:r>
        <w:rPr>
          <w:b/>
        </w:rPr>
        <w:t>E. 4</w:t>
      </w:r>
    </w:p>
    <w:p>
      <w:r>
        <w:t>La défenderesse objecte tout d'abord qu'elle serait fondée à poursuivre son utilisation des termes "A______", indépendamment d'une éventuelle confusion qui pourrait en résulter avec la marque de la demanderesse, dès lors qu'elle ferait usage de ces termes en Suisse depuis une date nettement antérieure à l'enregistrement de ladite marque dans notre pays.</w:t>
      </w:r>
    </w:p>
    <w:p>
      <w:r>
        <w:rPr>
          <w:b/>
        </w:rPr>
        <w:t>E. 4.1</w:t>
      </w:r>
    </w:p>
    <w:p>
      <w:r>
        <w:t>Selon l'art. 13 al. 1 LPM, le droit à la marque confère au titulaire le droit exclusif de faire usage de la marque pour distinguer les produits ou les services enregistrés et d'en disposer. A teneur de l'art. 13 al. 2 LPM, le titulaire peut interdire à des tiers l'usage de signes dont la protection est exclue en vertu de l'art.  3 al. 1 LPM. Cette disposition exclut notamment de la protection les signes identiques ou similaires à une marque antérieure et destinés à des produits ou services similaires, lorsqu'il en résulte un risque de confusion (let. b et c). En vertu de l'art. 14 al. 1 LPM, le titulaire ne peut pas interdire à un tiers de poursuivre l'usage, dans la même mesure que jusque-là, d'un signe que ce tiers utilisait déjà avant le dépôt de la marque. Au regard cette dernière disposition, peu importe de savoir si, aux côtés du tiers, un autre tiers ou le titulaire de la marque lui-même utilisait déjà le signe depuis plus longtemps encore. Le tiers fondé à poursuivre son usage ne doit pas nécessairement être le premier utilisateur du signe. La question de savoir qui bénéficie d'un droit préférable lorsque le titulaire de la marque faisait déjà usage du signe concerné avant le dépôt de la marque doit être tranchée selon les règles régissant la concurrence déloyale. Lorsque le titulaire qui a par la suite déposé la marque utilisait déjà celle-ci sur le territoire suisse avant le tiers qui se prévaut d'un droit d'en poursuivre l'usage, le titulaire de la marque bénéficie d'un droit d'antériorité et le tiers ne peut pas valablement poursuivre son utilisation (ATF 129 III 353 consid. 3.4; Isler, Commentaire bâlois, Markenschutzgesetz, 3 ème éd., 2017, n. 6 ad art. 14 LPM; Gilliéron, Commentaire romand, Propriété intellectuelle, 2013, n. 11 ad art. 14 LPM). Le droit de poursuivre l'utilisation peut par ailleurs s'éteindre, si le tiers fondé à utiliser le signe n'en fait pas usage pendant une période prolongée. Par analogie avec les dispositions régissant le non-usage d'une marque (cf. art. 12 al. 1 LPM), certains auteurs suggèrent que le droit de poursuivre l'usage pourrait se périmer en cas de non-utilisation du signe pendant cinq ans, à moins que cette non-utilisation ne se fonde sur de justes motifs. La durée du délai de péremption doit néanmoins être examinée en fonction de toutes les circonstances du cas d'espèce (Isler, op. cit., n. 21 ad art. 14 LPM; Thouvenin, Markenschutzgesetz (MSchG), 2 ème éd., Stämpfli 2017, n. 27 ad art. 14 LPM).</w:t>
      </w:r>
    </w:p>
    <w:p>
      <w:r>
        <w:rPr>
          <w:b/>
        </w:rPr>
        <w:t>E. 4.2</w:t>
      </w:r>
    </w:p>
    <w:p>
      <w:r>
        <w:t>En l'espèce, des vins de la demanderesse sont proposés aux consommateurs suisses, sous la dénomination aujourd'hui enregistrée par celle-ci comme marque, depuis la fin des années 19## au moins, notamment dans des restaurants (ci-dessus partie EN FAIT, consid. A. let. b). Les vins de la défenderesse sont quant à eux distribués en Suisse depuis 19## seulement et la procédure a permis de vérifier que la société H______ SA, qui les importe en exclusivité depuis lors, importe également des vins de la demanderesse dans notre pays depuis plus longtemps encore (partie EN FAIT, consid. B let. g.b) L'utilisation de la dénomination litigieuse par la défenderesse en Suisse n'apparaît dès lors pas antérieure à celle faite par la demanderesse et il paraît probable que cette dernière aurait pu s'y opposer, en invoquant les règles sur la concurrence déloyale, à cette époque déjà. Il est ainsi douteux que la défenderesse puisse valablement se prévaloir d'un droit de poursuivre son utilisation antérieure au dépôt de la marque, en application des dispositions et principes rappelés ci-dessus. A cela s'ajoute qu'en l'espèce, le vin de la défenderesse a été vendu en Suisse sous la dénomination distincte "A______/O______", non contestée par la demanderesse, durant plusieurs années au début des années 2000, soit apparemment de 2000 (pour le millésime 1999) à 2007 (pour le millésime 2006) au moins (cf. partie EN FAIT consid. A let. h). Contrairement à ce que soutient la défenderesse, il n'est pas établi que du vin d'une autre qualité aurait été simultanément proposé à la vente en Suisse sous la dénomination "A______" pour les millésimes concernés. Si un tel vin a effectivement pu être produit par la défenderesse, le directeur des achats de H______ SA - dont il est rappelé qu'elle était son importateur exclusif pour la Suisse - a confirmé au cours de son audition que sa société avait uniquement commercialisé du vin portant l'appellation "A______/O______" durant la période susvisée. Il est dès lors également douteux que la défenderesse puisse se prévaloir d'un droit de poursuivre l'utilisation de la dénomination litigieuse, au sens des principes rappelés ci-dessus, compte tenu de la non-utilisation en Suisse de celle-ci pendant une période significative. Il n'est toutefois pas nécessaire d'examiner plus avant ces questions, pour les motifs qui vont suivre.</w:t>
      </w:r>
    </w:p>
    <w:p>
      <w:r>
        <w:rPr>
          <w:b/>
        </w:rPr>
        <w:t>E. 5</w:t>
      </w:r>
    </w:p>
    <w:p>
      <w:r>
        <w:t>La défenderesse soutient que la demanderesse savait de longue date, ou à tout le moins ne pouvait ignorer, qu'elle-même faisait usage de la dénomination litigieuse en Suisse, de sorte que ses prétentions seraient aujourd'hui périmées.</w:t>
      </w:r>
    </w:p>
    <w:p>
      <w:r>
        <w:rPr>
          <w:b/>
        </w:rPr>
        <w:t>E. 5.1</w:t>
      </w:r>
    </w:p>
    <w:p>
      <w:r>
        <w:t>Les actions en interdiction et en cessation de trouble en matière de propriété intellectuelle ou de concurrence déloyale ne se prescrivent pas. Elles peuvent en principe être invoquées tant que subsiste un risque de réitération ou de continuation du comportement illicite (arrêt du Tribunal fédéral 4A_257/2014 du 29 septembre 2014 consid. 6.1; Frick, Commentaire bâlois, Markenschutzgesetz, 3 ème éd., 2017, ad art. 51a-60 LPM n. 53; Thouvenin, op. cit., n. 68 ad art. 51-60 LPM; Killias/De Selliers, Commentaire romand, Propriété intellectuelle, 2013, n. 14 ad art. 52 LPM; Schlosser, La péremption en matière de signes distinctifs, in Sic! 2006 p. 549s.). La jurisprudence reconnaît depuis longtemps que l'inaction prolongée du lésé peut être constitutive d'un abus de droit au sens de l'art. 2 al. 2 CC, au point d'entraîner la déchéance de son droit d'action, singulièrement dans le domaine des marques et des raisons de commerce. Plus exactement, l'abus de droit réside dans le fait que l'ayant droit adopte un comportement contradictoire ( venire contra factum proprium ). L'inaction prolongée suscite l'apparence d'une tolérance, que contredit l'action en justice intentée des années plus tard (arrêt du Tribunal fédéral 4A_257/2014 cité consid. 6.1; Schlosser, op. cit, p. 549). La péremption en raison du retard à agir ne doit toutefois pas être admise à la légère. Le simple fait que l'admission de la demande puisse entraîner des inconvénients pour le défendeur n'est pas un motif suffisant pour reconnaître l'existence d'un abus (arrêt du Tribunal fédéral 4A_257/2014 cité consid. 6.1; Killias/De Selliers, op. cit., n. 16 ad art. 52 LPM; Schlosser, op. cit, p. 550). Quatre conditions doivent en particulier être réunies pour que l'on puisse retenir la péremption: (1) la violation doit être connue de l'ayant droit ou à tout le moins être reconnaissable par lui, (2) l'ayant droit doit être demeuré passif pendant une période prolongée, (3) l'auteur de l'atteinte doit avoir créé une valeur économique appréciable et (4) il doit avoir été de bonne foi (Frick, op. cit., ad art. 51a-60 LPM n. 61; Thouvenin, op. cit., n. 69 ad art. 51-60 LPM; Killias/De Selliers, op. cit., n. 17 ad art. 52 LPM; Schlosser, op. cit, p. 550). Il appartient à celui qui invoque la péremption de prouver que les conditions en sont réunies (cf. art. 8 CC; Frick, op. cit., ad art. 51a-60 LPM n. 78; Schlosser, op. cit, p. 564). En l'espèce, la réalisation de chacune des conditions susvisées est contestée. Il convient dès lors d'examiner séparément et plus précisément ces questions.</w:t>
      </w:r>
    </w:p>
    <w:p>
      <w:r>
        <w:rPr>
          <w:b/>
        </w:rPr>
        <w:t>E. 5.2</w:t>
      </w:r>
    </w:p>
    <w:p>
      <w:r>
        <w:t>Connaissance de la violation</w:t>
      </w:r>
    </w:p>
    <w:p>
      <w:r>
        <w:rPr>
          <w:b/>
        </w:rPr>
        <w:t>E. 5.2.1</w:t>
      </w:r>
    </w:p>
    <w:p>
      <w:r>
        <w:t>La péremption suppose en principe que le lésé ait eu connaissance de la violation de ses droits. La connaissance effective n'est cependant pas seule à pouvoir entraîner la péremption. Celle-ci peut également résulter de la méconnaissance fautive. De fait, si l'ayant droit n'avait pas connaissance des faits pertinents mais que l'auteur de la violation pouvait de bonne foi considérer que tel était le cas, ce dernier doit être protégé de la même manière qu'en cas de connaissance réelle. Ce qui compte, c'est l'apparence de tolérance (ATF 117 II 425 consid. 4b; arrêt du Tribunal fédéral 4A_257/2014 cité consid. 6.2; Frick, op. cit., ad art. 51a-60 LPM n. 62; Thouvenin, op. cit., n. 70 ad art. 51-60 LPM; Killias/De Selliers, op. cit., n. 22 ad art. 52 LPM; Schlosser, op. cit, p. 550). Selon le Tribunal fédéral, il y a méconnaissance fautive des faits pertinents lorsque l'ayant droit aurait dû avoir connaissance de la violation en observant le marché avec l'attention requise par les circonstances. On peut en particulier attendre du titulaire d'une marque ou d'une raison de commerce qu'il surveille l'apparition de signes distinctifs identiques ou similaires sur le marché (ATF 117 II 575 consid. 4b; arrêt du Tribunal fédéral 4C_371/2005 du 2 mars 2006 consid. 3.1). La connaissance d'un signe doit notamment être imputée au titulaire d'un signe prioritaire lorsqu'il est utilisé sur le marché sur lequel celui-ci est actif. L'on peut en effet attendre de l'ayant droit qu'il connaisse son marché et qu'il s'aperçoive rapidement de l'apparition de produits concurrents, surtout si le marché en question est particulièrement ciblé et que les parties sont actives sur un territoire limité (arrêt du Tribunal fédéral 4C_371/2005 cité consid. 3.1 Schlosser, op. cit, p. 554). L'étendue de l'obligation de surveillance du marché est également fonction de la taille de l'ayant droit et de l'importance du signe. Les grandes entreprises sont soumises à des exigences de surveillance plus élevées que les petites entreprises et l'on se montrera plus exigeant en ce qui concerne les signes distinctifs principaux d'une entreprise qu'envers ses marques accessoires. La connaissance du signe litigieux par l'ayant droit sera en outre admise d'autant plus facilement que la durée de son utilisation aura été plus longue (Frick, op. cit., ad art. 51a-60 LPM n. 63; Schlosser, op. cit, p. 553). Un ayant droit étranger ne suscite pas les mêmes attentes que le titulaire actif en Suisse, étant toutefois précisé qu'une entreprise ayant son siège à l'étranger est assimilée à une société suisse lorsqu'elle est d'une certaine importance, qu'elle est active sur le marché suisse depuis longtemps et qu'elle y dispose d'un représentant (arrêt du Tribunal fédéral 4C_247/1996 du 13 novembre 1998 consid. 5b/bb; Schlosser, op. cit, p. 553).</w:t>
      </w:r>
    </w:p>
    <w:p>
      <w:r>
        <w:rPr>
          <w:b/>
        </w:rPr>
        <w:t>E. 5.2.2</w:t>
      </w:r>
    </w:p>
    <w:p>
      <w:r>
        <w:t>En l'espèce, la demanderesse soutient avoir pris connaissance de l'utilisation de la dénomination "A______" par la défenderesse en Suisse à l'occasion du passage de l'un de ses représentants à l'aéroport de Genève [en] 2018, où des bouteilles du vin de la défenderesse auraient été proposées à la vente. Ces allégations ne sont cependant étayées que par les propos du représentant en question, organe de la demanderesse. Contestés par la défenderesse, ces propos ne suffisent pas à emporter la conviction de la Cour en l'absence d'autres éléments probants, ni ne permettent à eux seuls de tenir pour acquis que la demanderesse ignorait précédemment l'usage de la dénomination litigieuse. Il n'est toutefois pas nécessaire d'examiner plus avant cette question. A supposer que la demanderesse n'ait effectivement constaté l'utilisation de la dénomination litigieuse en Suisse qu'[en] 2018 dans les circonstances susmentionnées, une prise de connaissance à cette date ne serait en effet pas compatible avec l'attention que l'on pouvait raisonnablement attendre que la demanderesse, titulaire d'une marque enregistrée en Suisse depuis 19##, prête à ce marché. En l'occurrence, la demanderesse a connaissance de l'existence de la défenderesse et de ses activités en France depuis 19## au moins. Elle devait nécessairement envisager que la défenderesse développe ses activités et propose à court terme ses produits dans des pays voisins tels que la Suisse, où ses propres produits étaient également disponibles de longue date. Si la demanderesse ne devait pas nécessairement déduire des documents produits par la défenderesse dans la procédure qui a opposé les parties en France dans les années 2000 que les produits de la défenderesse étaient proposés à la vente en Suisse, puisque ces documents faisaient état d'un client établi en Suisse mais d'un lieu de livraison situé en France, de tels éléments devaient toutefois nécessairement attirer son attention sur les activités de la défenderesse. Plus encore que ce qui précède, le fait que les produits de la défenderesse aient été importés et distribués en Suisse par la société H______ SA, qui distribuait également les vins de la demanderesse, ne pouvait pas raisonnablement échapper à cette dernière, en particulier depuis que celle-ci propose également son catalogue sur internet. Devant la Cour, les représentants de la demanderesse ont notamment concédé qu'ils avaient chargé un cabinet de surveiller l'usage de leur marque dans le monde et qu'ils escomptaient que ce cabinet surveille également internet. Si ces mêmes représentants ont estimé qu'ils n'auraient pas pu prendre connaissance plus tôt de l'usage de la dénomination litigieuse par la défenderesse en Suisse, au motif que cette dénomination n'y était pas enregistrée comme marque, ils ont également admis qu'ils ne faisaient, alors, pas une priorité de ces questions, ce qui peut leur être reproché. Il est par ailleurs vrai que la demanderesse n'entretient pas de relation commerciale directe avec la société H______ SA, contrairement à la défenderesse; on peut néanmoins attendre de la demanderesse, compte tenu de l'importance qu'elle dit elle-même accorder à sa marque, qu'elle sache par quels canaux ses produits sont distribués à l'étranger et quels sont les éventuels produits concurrents distribués par les canaux en question. Sur ce point, les enquêtes ont permis de vérifier que les producteurs de grands vins C______ connaissent toujours de manière indirecte la destination de leurs produits, grâce à leurs relations, raison pour laquelle ils déposent leur marque dans les pays où ils savent que leurs vins sont commercialisés. On peut donc attendre de la demanderesse, qui a déposé sa marque en Suisse de longue date et dont les produits sont distribués dans notre pays par des distributeurs qu'elle connaît de longue date également, une attention proche de celle qui serait attendue d'un acteur économique suisse de pareille importance. Dans ces conditions, la Cour considère que la demanderesse ne pouvait pas raisonnablement ignorer l'usage de la dénomination litigieuse qui était fait par la défenderesse en Suisse, et ce au moins depuis que le catalogue de la société H______ SA est disponible sur internet. A ce propos, si la date exacte à laquelle le site internet de la société susvisée a été mis en ligne n'est pas établie avec précision, un représentant de celle-ci a confirmé sous serment que cette date remontait à une quinzaine d'année au moins. Il convient par ailleurs de tenir compte du fait que les vins de la défenderesse ont été vendus en Suisse sous l'appellation "A______/O______" jusqu'au millésime 2006. Par conséquent, la Cour retiendra que la demanderesse ne pouvait plus ignorer que les vins de la défenderesse étaient commercialisés sous la dénomination litigieuse en Suisse depuis l'année 2008 (pour le millésime 2007) au plus tard. Il reste à examiner si la demanderesse a tardé à agir contre la défenderesse compte tenu de cette date.</w:t>
      </w:r>
    </w:p>
    <w:p>
      <w:r>
        <w:rPr>
          <w:b/>
        </w:rPr>
        <w:t>E. 5.3</w:t>
      </w:r>
    </w:p>
    <w:p>
      <w:r>
        <w:t>Durée d'inaction</w:t>
      </w:r>
    </w:p>
    <w:p>
      <w:r>
        <w:rPr>
          <w:b/>
        </w:rPr>
        <w:t>E. 5.3.1</w:t>
      </w:r>
    </w:p>
    <w:p>
      <w:r>
        <w:t>La péremption suppose que l'ayant droit soit demeuré passif pendant une période prolongée. La loi et la jurisprudence ne définissent pas de durée minimale au terme de laquelle la péremption devrait être admise. Cette durée doit être appréciée au regard des circonstances de chaque cas. Est déterminante la perspective de l'auteur de la violation: les prétentions du titulaire du droit sont périmées lorsque le tiers peut raisonnablement et objectivement penser, sur le vu du comportement adopté par l'ayant droit et plus particulièrement de sa passivité pendant une période prolongée, que ce dernier tolère l'atteinte à ses droits (arrêts du Tribunal fédéral 4A_257/2014 cité consid. 6.3; 4C_376/2004 du 21 janvier 2005 consid. 4.1; Frick, op. cit., ad art. 51a-60 LPM n. 69; Schlosser, op. cit., p. 555). En pratique, compte tenu notamment du droit communautaire européen qui fixe un délai de cinq ans dès la connaissance de la marque postérieure, doctrine et jurisprudence admettent généralement que la péremption est acquise après une inaction de l'ayant droit de quatre à neuf ans, étant précisé que des périodes plus courtes ont parfois été considérées comme suffisantes (Frick, op. cit., ad art. 51a-60 LPM n. 69 et les réf. citées; Killias/De Selliers, op. cit., n. 32 ad art. 52 LPM et les réf citées; Schlosser, op. cit, p. 556s. et les réf. citées). L'inaction de l'ayant-droit peut parfois reposer sur de justes motifs. Doctrine et jurisprudence citent à ce propos l'existence de relations commerciales entre les parties, d'éventuels procédés dilatoires de l'auteur de l'atteinte, tels que des promesses non tenues de mettre un terme au comportement incriminé, ou même une situation de guerre dans le pays concerné comme motifs pouvant justifier l'inaction de l'ayant-droit (ATF 109 II 338 consid. 2a; 98 II 138 consid. 3; Frick, op. cit., ad art. 51a-60 LPM n. 70; Killias/De Selliers, op. cit., n. 37 ad art. 52 LPM; Schlosser, op. cit, p. 559).</w:t>
      </w:r>
    </w:p>
    <w:p>
      <w:r>
        <w:rPr>
          <w:b/>
        </w:rPr>
        <w:t>E. 5.3.2</w:t>
      </w:r>
    </w:p>
    <w:p>
      <w:r>
        <w:t>En l'espèce, la demanderesse a ouvert action contre la défenderesse en Suisse au mois de mai 2018, soit dix ans environ après la date à laquelle, au plus tard, elle ne pouvait plus ignorer que les produits de celle-ci y étaient distribués. La demanderesse n'établit pas ni n'allègue qu'elle aurait dans l'intervalle adressé à la défenderesse de quelconques mises en demeure en relation avec le marché suisse. La défenderesse, qui a repris l'utilisation de la dénomination litigieuse en Suisse en 2008 à la suite de décisions judiciaires favorables obtenues en France, pouvait alors considérer, dix ans plus tard et à supposer qu'elle soit de bonne foi (cf. ci-dessous consid. 5.5), que cette utilisation était désormais tolérée par la demanderesse, comme elle l'était dans le pays susvisé. Elle ne devait pas s'attendre à une action soudaine de la demanderesse, quand bien même celle-ci se serait dans l'intervalle opposée à l'enregistrement de marques revendiquées par la défenderesse en Chine. La défenderesse n'a en effet pas déposé de marque en Suisse et pouvait notamment estimer que la demanderesse ne s'opposerait pas à l'utilisation de la dénomination litigieuse tant qu'elle ne tenterait pas de l'enregistrer en Suisse. La défenderesse pouvait également considérer que la tolérance de la demanderesse était justifiée par la différence de taille et de système juridique entre le marché suisse et le marché chinois. Au vu de ce qui précède, il faut admettre que la demanderesse a tardé à agir en ouvrant action contre la défenderesse en Suisse une dizaine d'années après la date à laquelle elle ne pouvait plus ignorer que les vins de celle-ci y étaient vendus sous l'appellation litigieuse. Elle a permis à la défenderesse de considérer qu'elle bénéficiait d'une tolérance, voire qu'elle était dans son droit, à l'instar de la situation qui prévalait en France. La durée d'inaction susvisée est dès lors suffisante pour permettre la péremption des prétentions de la demanderesse, pour autant que les autres conditions rappelées ci-dessus soient également réalisées.</w:t>
      </w:r>
    </w:p>
    <w:p>
      <w:r>
        <w:rPr>
          <w:b/>
        </w:rPr>
        <w:t>E. 5.4</w:t>
      </w:r>
    </w:p>
    <w:p>
      <w:r>
        <w:t>Valeur économique</w:t>
      </w:r>
    </w:p>
    <w:p>
      <w:r>
        <w:rPr>
          <w:b/>
        </w:rPr>
        <w:t>E. 5.4.1</w:t>
      </w:r>
    </w:p>
    <w:p>
      <w:r>
        <w:t>L'auteur de l'atteinte doit s'être créé une situation économique digne de protection ( ein wertvoller Besitzstand ) en raison de l'inaction du lésé. Il doit établir concrètement que l'emploi effectif et sans opposition du signe litigieux lui a conféré une notoriété et lui a fait acquérir une valeur patrimoniale qu'il ne peut être raisonnablement tenu d'abandonner (Frick, op. cit., n. 74 ad art. 51a-60 LPM; Thouvenin, op. cit., n. 74 ad art. 51-60 LPM; Killias/De Selliers, op. cit., n. 38 ad art. 52 LPM; Schlosser, op. cit, p. 560). Selon le Tribunal fédéral, le signe de l'auteur de la violation doit s'être imposé auprès du public comme une référence à son entreprise, grâce à son utilisation prolongée et non perturbée, et l'auteur de la violation doit se trouver de ce fait dans une position concurrentielle avantageuse (ATF 117 II 575 consid. 6a; arrêt du Tribunal fédéral 4C_371/2005 cité consid. 5a). Selon la doctrine, on est en présence d'une valeur appréciable dès que le signe litigieux ne peut être remplacé par un autre sans inconvénients sérieux, c'est-à-dire lorsque sa substitution entraînerait une diminution notable des ventes. Les aspects quantitatifs (chiffre d'affaires) ne sont pas seuls décisifs; il convient également de tenir compte d'éléments qualitatifs, telle que l'importance stratégique de l'offre concernée (Schlosser, op. cit, p. 561 et les réf. citées). Le moment déterminant pour apprécier la situation économique digne de protection se situe lorsque le lésé informe l'auteur de l'atteinte qu'il estime que ses droits sont violés (Killias/De Selliers, op. cit., n. 40 ad art. 52 LPM; Schlosser, op. cit, p. 562).</w:t>
      </w:r>
    </w:p>
    <w:p>
      <w:r>
        <w:rPr>
          <w:b/>
        </w:rPr>
        <w:t>E. 5.4.2</w:t>
      </w:r>
    </w:p>
    <w:p>
      <w:r>
        <w:t>En l'espèce, les vins de la défenderesse sont importés dans notre pays depuis 19## par la société H______ SA. Les allégations de la demanderesse selon lesquelles il ne serait pas établi que les vins de la défenderesse aient été ensuite proposés aux consommateurs suisses ne sont pas crédibles et frisent la témérité. Au cours de son témoignage, le directeur des achats de la société susvisée a notamment confirmé que celle-ci importait divers vins, dont ceux de la défenderesse, pour les distribuer à des grossistes, qui les revendaient ensuite aux consommateurs finaux en Suisse. La défenderesse établit par ailleurs avoir réalisé un chiffre d'affaires moyen de 53'840 euros par an en Suisse entre 2005 et 2018, avec un maximum de 133'374 euros en 2012. De tels montants confirment l'existence d'une activité économique appréciable. Si la valeur relative à l'année 2018 (18'462 euros) est inférieure aux montants susmentionnés, le directeur des achats susvisé a également déclaré que le vin de la défenderesse avait son public en Suisse et ses acheteurs réguliers. On ne saurait dès lors se baser sur le seul chiffre d'affaires réalisé en 2018 pour apprécier la situation économique dont jouissait la défenderesse au jour où la présente action lui a été signifiée. Il convient plutôt d'observer que le chiffre d'affaires maximum susvisé (2012) a bien été réalisé alors que les vins de la défenderesse portaient la seule dénomination litigieuse "A______", sans adjonction du nom de la famille exploitante. Au vu de ces éléments, il faut admettre que l'utilisation de la dénomination susvisée sans interruption depuis une dizaine d'années procure à la défenderesse une position économique avantageuse, au sens des principes rappelés ci-dessus, et que celle-ci ne pourrait modifier cette dénomination ou la remplacer par une autre sans subir une diminution de ses exportations dans notre pays ou être contrainte d'en baisser le prix. La condition relative à l'existence d'une situation économique digne de protection est donc également réalisée en l'espèce.</w:t>
      </w:r>
    </w:p>
    <w:p>
      <w:r>
        <w:rPr>
          <w:b/>
        </w:rPr>
        <w:t>E. 5.5</w:t>
      </w:r>
    </w:p>
    <w:p>
      <w:r>
        <w:t>Bonne foi</w:t>
      </w:r>
    </w:p>
    <w:p>
      <w:r>
        <w:rPr>
          <w:b/>
        </w:rPr>
        <w:t>E. 5.5.1</w:t>
      </w:r>
    </w:p>
    <w:p>
      <w:r>
        <w:t>L'auteur de l'atteinte doit enfin utiliser de bonne foi le signe distinctif contesté. La bonne foi de l'auteur de l'atteinte ne doit pas nécessairement exister à l'origine ( bona fides superveniens ). Il faut en revanche qu'il soit de bonne foi au moment où le lésé lui intime de cesser d'utiliser le signe distinctif (Thouvenin, op. cit., n. 75 ad art. 51-60 LPM; Killias/De Selliers, op. cit., n. 41 à 43 ad art. 52 LPM; Schlosser, op. cit, p. 566). Celui qui connaissait l'existence du signe prioritaire - ou qui aurait dû en connaître l'existence en faisant montre de l'attention commandée par les circonstances - est néanmoins de bonne foi s'il avait des motifs légitimes de penser que son signe ne portait pas atteinte au signe prioritaire (Schlosser, op. cit, p. 566). Lorsque l'auteur de l'atteinte est dans l'incertitude quant au point de savoir s'il viole ou non une marque ou une raison de commerce antérieures, il n'y a pas de place pour la bonne foi initiale. En revanche, l'inaction de l'ayant droit pourra plus facilement être interprétée comme une tolérance, et donc donner naissance à une bonne foi subséquente (arrêt du Tribunal fédéral 4A_257/2014 cité consid. 6.3 in fine ; Schlosser, op. cit, p. 562).</w:t>
      </w:r>
    </w:p>
    <w:p>
      <w:r>
        <w:rPr>
          <w:b/>
        </w:rPr>
        <w:t>E. 5.5.2</w:t>
      </w:r>
    </w:p>
    <w:p>
      <w:r>
        <w:t>En l'espèce, la défenderesse établit que le domaine viticole qu'elle exploite porte la dénomination "A______" de très longue date, tout comme le domaine de la demanderesse porte une dénomination proche qui lui est propre. La défenderesse établit également que son utilisation de cette dénomination pour commercialiser ses produits a longtemps été tolérée par la demanderesse, jusqu'à ce que celle-ci l'assigne en justice en France au début des années 2000. A l'origine de la commercialisation de ses vins en Suisse, soit au début des années 19##, la défenderesse pouvait donc de bonne foi considérer que son utilisation de la dénomination susvisée ne contrevenait pas aux droits de la demanderesse. Tel ne devait plus nécessairement être le cas lorsque la demanderesse a déposé la marque dont elle est titulaire en Suisse et a assigné la défenderesse pour violation de cette même marque en France. La défenderesse devait alors se trouver dans l'incertitude quant à la question de savoir si son utilisation de la dénomination litigieuse contrevenait à la marque ou à la raison de commerce de la demanderesse et elle ne pouvait alors plus se prévaloir de sa bonne foi initiale, conformément aux principes rappelés ci-dessus. Durant les procédures conduites en France, la défenderesse a d'ailleurs produit une partie de son vin sous la dénomination modifiée "A______/O______" et utilisé cette seule dénomination pour le vin commercialisé en Suisse. La question déterminante est donc de savoir si la défenderesse pouvait à nouveau être de bonne foi lorsque la demanderesse l'a enjointe de cesser d'utiliser la dénomination litigieuse en Suisse par le biais de la présente action en justice. A cet égard, il est établi que la défenderesse a obtenu gain de cause contre la demanderesse en 2010, au terme des procédures qui ont opposé les parties en France. S'il est exact que les tribunaux français n'ont ce faisant pas retenu au fond que l'utilisation de la dénomination litigieuse par la défenderesse n'entraînait pas de risque de confusion avec la marque et les produits de la demanderesse, mais ont seulement jugé irrecevables les demandes présentées par la demanderesse, dès lors que celle-ci avait toléré trop longtemps l'utilisation susvisée par la défenderesse au regard des dispositions applicables en France, cette circonstance ne permet pas d'exclure la bonne foi subséquente de la défenderesse. Cette dernière pouvait en effet de bonne foi estimer que les prétentions de la demanderesse seraient également jugées tardives en Suisse, au cas où elles y seraient soulevées, compte tenu de la durée pendant laquelle elle y avait auparavant fait usage de la dénomination litigieuse sans être inquiétée. La défenderesse pouvait en particulier être confortée dans cette opinion si la demanderesse ne manifestait pas d'opposition à cette utilisation pendant plusieurs années après la fin des procédures françaises. Or en l'espèce la demanderesse, qui ne pouvait pas ignorer que la défenderesse avait repris l'usage de la dénomination litigieuse en Suisse (cf. ci-dessus consid. 5.2), a attendu environ huit ans après le dénouement susvisé avant d'assigner la défenderesse à Genève. Conformément aux principes rappelés ci-dessus, la défenderesse pouvait alors considérer cette période d'attente comme une tolérance de la part de la demanderesse et poursuivre de bonne foi son utilisation de la dénomination litigieuse en Suisse. Il est notamment sans incidence que la demanderesse ait dans l'intervalle contesté les marques dont la défenderesse a obtenu l'enregistrement en Chine; la défenderesse n'a en effet pas enregistré de marque en Suisse et pouvait de bonne foi estimer que la situation dans notre pays était différente, pour les motifs déjà exposés ci-dessus (cf. consid. 5.3.2).</w:t>
      </w:r>
    </w:p>
    <w:p>
      <w:r>
        <w:rPr>
          <w:b/>
        </w:rPr>
        <w:t>E. 5.6</w:t>
      </w:r>
    </w:p>
    <w:p>
      <w:r>
        <w:t>L'ensemble des conditions rappelées sous consid. 5.1 ci-dessus étant réalisées, il faut admettre avec la défenderesse que les prétentions de la demanderesse sont tardives et que celle-ci ne peut plus les invoquer sans abuser de son droit, compte tenu de la durée pendant laquelle elle a toléré l'utilisation de la dénomination litigieuse dans notre pays par la défenderesse. Conformément aux principes rappelés sous consid. 5.1 in initio ci-dessus, ce constat s'applique à l'ensemble des prétentions de la demanderesse, que celles-ci se fondent sur le droit des marques ou sur la loi fédérale contre la concurrence déloyale. Les règles de la bonne foi peuvent en effet également justifier de s'écarter du principe de priorité applicable dans ce dernier domaine, notamment en cas de conflit entre des signes similaires (cf. Arpagaus, Commentaire bâlois, UWG, 2013, n. 234 ad art. 3 al. 1 let. d LCD). La demanderesse sera en conséquence déboutée de toutes ses conclusions, indépendamment de la question de savoir si l'utilisation de la dénomination litigieuse par la défenderesse entraîne un risque de confusion avec sa propre marque et/ou ses propres produits au regard de l'une ou l'autre des réglementations susvisées.</w:t>
      </w:r>
    </w:p>
    <w:p>
      <w:r>
        <w:rPr>
          <w:b/>
        </w:rPr>
        <w:t>E. 6</w:t>
      </w:r>
    </w:p>
    <w:p>
      <w:r>
        <w:t>Les frais judiciaires, comprenant les frais des décisions rendues à titre incident, seront arrêtés à 9'000 fr. (art. 95 al. 1 let. a; art. 96 CPC; art. 13 et 17 RTFMC) et mis à la charge de la demanderesse, qui succombe (art. 106 al. 1 CPC). Ils seront compensés avec l'avance de frais de même montant fournie par celle-ci, qui demeure acquise à l'Etat de Genève (art. 111 al. 1 CPC). La demanderesse sera également condamnée à payer à la défenderesse la somme de 12'500 fr. à titre de dépens (art. 95 al. 1 let. b, art. 96 CPC, art. 84 RTFMC), débours et TVA compris (art. 25 et 26 LaCC).</w:t>
      </w:r>
    </w:p>
    <w:p>
      <w:r>
        <w:rPr>
          <w:b/>
        </w:rPr>
        <w:t>E. 7</w:t>
      </w:r>
    </w:p>
    <w:p>
      <w:r>
        <w:t>Prononcée en instance cantonale unique en matière de propriété intellectuelle et de concurrence déloyale, la présente décision est susceptible d'un recours en matière civile au Tribunal fédéral indépendamment de la valeur litigieuse (art. 72 al. 2 let. b, art. 74 al. 2 lit. b LTF, art. 5 al. 1 let. a et d CPC). * * * * * PAR CES MOTIFS, La Chambre civile : A la forme : Déclare recevable la demande en cessation de trouble formée par A______/B______ contre SOCIETE CIVILE D'EXPLOITATION A______ dans la cause C/11075/2018. Au fond : Déboute A______/B______ de toutes ses conclusions. Déboute les parties de toutes autres conclusions. Sur les frais : Arrête les frais judiciaires à 9'000 fr., les met à la charge de A______/B______ et les compense avec l'avance de frais de même montant fournie par celle-ci, qui demeure acquise à l'Etat de Genève. Condamne A______/B______ à payer à SOCIETE CIVILE D'EXPLOITATION A______ la somme de 12'500 fr. à titre de dépens. Siégeant : Monsieur Cédric-Laurent MICHEL, président; Mesdames Pauline ERARD et Paola CAMPOMAGNANI, juges; Madame Christel HENZELIN, greffière. Le président : Cédric-Laurent MICHEL La greffière : Christel HENZELIN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