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C/1100/2021 vom 16. Mai 2023</w:t>
      </w:r>
    </w:p>
    <w:p>
      <w:r>
        <w:t>GE Cour de justice, 2023-05-16, FR</w:t>
      </w:r>
    </w:p>
    <w:p>
      <w:r>
        <w:rPr>
          <w:b/>
        </w:rPr>
        <w:t xml:space="preserve">Quelle: </w:t>
      </w:r>
      <w:r>
        <w:t>https://mcp.opencaselaw.ch/entscheid/ge_gerichte_C_1100_2021</w:t>
      </w:r>
    </w:p>
    <w:p>
      <w:r>
        <w:t>FR: GE_GERICHTE C/1100/2021 du 16 mai 2023</w:t>
      </w:r>
    </w:p>
    <w:p>
      <w:r>
        <w:t>IT: GE_GERICHTE C/1100/2021 del 16 maggio 2023</w:t>
      </w:r>
    </w:p>
    <w:p>
      <w:pPr>
        <w:pStyle w:val="Heading2"/>
      </w:pPr>
      <w:r>
        <w:t>Regeste</w:t>
      </w:r>
    </w:p>
    <w:p>
      <w:r>
        <w:t>CO.18.al1</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La voie de l'appel est ainsi ouverte.</w:t>
      </w:r>
    </w:p>
    <w:p>
      <w:r>
        <w:rPr>
          <w:b/>
        </w:rPr>
        <w:t>E. 1.2</w:t>
      </w:r>
    </w:p>
    <w:p>
      <w:r>
        <w:t>Interjeté dans le délai et les formes prescrits par la loi (art. 130, 131 et 311 al. 1 CPC), l'appel est recevable.</w:t>
      </w:r>
    </w:p>
    <w:p>
      <w:r>
        <w:rPr>
          <w:b/>
        </w:rPr>
        <w:t>E. 2</w:t>
      </w:r>
    </w:p>
    <w:p>
      <w:r>
        <w:t>La Cour revoit la cause avec un plein pouvoir d'examen (art. 310 CPC), dans la limite des griefs motivés qui sont formulés (ATF 142 III 413 consid. 2.2.4).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art. 58 al. 1 CPC).</w:t>
      </w:r>
    </w:p>
    <w:p>
      <w:r>
        <w:rPr>
          <w:b/>
        </w:rPr>
        <w:t>E. 3</w:t>
      </w:r>
    </w:p>
    <w:p>
      <w:r>
        <w:t>L'appelante fait grief au Tribunal d'avoir considéré que la consultation préopératoire de H______ du 29 juin 2000 auprès de feu Dr C______ au E______ ne tombait pas sous le régime de responsabilité de la convention. Elle reproche également au Tribunal d'avoir retenu que les interventions des 10 et 31 janvier 2001, exécutées au sein des intimés, ne constituaient pas des actes illicites engageant la responsabilité de ceux-ci. 3.1.1 En présence d'un litige sur l'interprétation de clauses contractuelles, le juge doit rechercher, dans un premier temps, la réelle et commune intention des parties (interprétation subjective), le cas échéant, empiriquement sur la base d'indices,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140 III 86 consid. 4.1; 125 III 263 consid. 4c; 118 II 365 consid. 1). Déterminer ce qu'un cocontractant savait et voulait au moment de conclure relève des constatations de fait (ATF 132 III 268 consid. 2.3.2; 131 III 606 consid. 4.1; 128 III 419 consid. 2.2). Lorsque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2.2.1; 132 III 268 consid. 2.3.2; 132 III 626 consid. 3.1; 130 III 417 consid. 3.2). L'interprétation objective s'effectue non seulement d'après le texte et le contexte des déclarations, mais également sur le vu des circonstances qui les ont précédées et accompagnées, à l'exclusion des événements postérieurs. La détermination de la volonté objective des parties, selon le principe de la confiance, est une question de droit (ATF 142 III 239 consid. 5.2.1; 133 III 61 consid. 2.2.1). 3.1.2 En matière de responsabilité médicale, l'illicéité peut reposer sur deux sources distinctes: la violation des règles de l'art, d'une part, et la violation du devoir de recueillir le consentement éclairé du patient, d'autre part (arrêt du Tribunal fédéral 4A_547/2019 du 9 juillet 2020 consid. 4.2) L'exigence d'un consentement éclairé se déduit directement du droit du patient à la liberté personnelle et à l'intégrité corporelle, qui est un bien protégé par un droit absolu.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arrêt du Tribunal fédéral 4A_547/2019 précité consid. 4.2.1). 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(ATF 133 III 121 consid. 4.1.1; arrêt du Tribunal fédéral 4A_547/2019 précité consid. 4.2.1). 3.1.3 L'autorité de la chose jugée ne s'attache en principe qu'au seul dispositif de la décision. Dès lors toutefois qu'il n'y a force de chose jugée que dans la mesure où le juge a examiné le fondement matériel d'une prétention et statué à son sujet, il faut tenir compte du jugement dans son ensemble, en particulier de sa motivation (ATF 121 III 474 consid. 4a; Hohl, Procédure civile, tome I, 2016, n° 2336 et 2337). 3.2.1 En l'espèce, il n'est pas contesté que les créances litigieuses ne sont pas prescrites compte tenu des différents actes interruptifs effectués par l'appelante, ni que celle-ci en est titulaire suite à la cession de créance de J______ du 26 mai 2010. 3.2.2 A teneur de l'art. 3 al. 5 de la convention, les intimés et feu Dr C______ se sont entendus sur le fait que la prise en charge des patients pour la chirurgie réfractive de la cornée devait exclusivement être effectuée dans les locaux des intimés (" au sein des B______ "). Cette convention ayant pour but que feu Dr C______ transmette ses connaissances dans ce domaine aux intimés, ladite prise en charge comprenait manifestement tant les consultations pré et postopératoires, incluant notamment les examens préliminaires et l'indication opératoire, que les interventions. En effet, l'art. 2 let. d de la convention mentionne expressément que la collaboration convenue comprenait les consultations. En outre, il ressort du courrier du 25 février 2003 de feu Dr C______ que ce dernier savait devoir procéder aux consultation au sein des intimés. Le témoin M______ a d'ailleurs confirmé que l'intention des parties à la convention était que les consultations se déroulent également dans les locaux des intimés. Le témoin Dr O______ a encore déclaré que les dossiers des patients reçus en consultation à Genève étaient discutés avec feu Dr C______, ce qui confirme que la collaboration convenue en matière de chirurgie réfractive de la cornée, et donc la convention, portait également sur les consultations, comme retenu par le premier juge. Contrairement aux affirmations contenues dans le courrier du 25 février 2003 de feu Dr C______, les intimés avaient mis à disposition de celui-ci une salle de consultation, qui disposait du matériel nécessaire pour procéder aux examens préopératoires, ce qui ressort des témoignages des Dr O______ et Dr P______. Il était donc possible d'effectuer les consultations dans les locaux des intimés. En continuant à recevoir des patients en consultation au E______, feu Dr C______ n'a donc pas respecté les termes de la convention, ce qu'il a admis dans son courrier du 25 février 2003 et ce que les intimés ont expressément relevé dans leur courriel du 17 juillet 2000. Il ressort toutefois de celui-ci que les intimés ont accepté provisoirement cette situation, un point de situation devant être effectué fin août 2001. Sur ce point, le témoin M______ a d'ailleurs confirmé qu'il s'agissait d'une phase transitoire. L'art. 6 al. 1 de la convention prévoyait que la responsabilité des intimés était engagée pour tous les dommages causés à des tiers par le E______, soit pour lui feu Dr C______, dans le cadre de l'activité que celui-ci déployait " au sein des B______ ". Cette terminologie est identique à celle employée à l'art. 3 al. 5 susvisé, qui était comprise par les parties à la convention comme " dans les locaux " des intimés, comme relevé supra . La consultation de H______ du 29 juin 2000 a, certes, été effectuée dans le cadre de l'activité de feu Dr C______ au sens de la convention, mais pas dans les locaux des intimés et ce, contrairement aux termes de celle-ci. Le fait que les intimés avaient accepté, provisoirement, qu'une partie des consultations s'effectue au E______ ne permet pas encore de retenir que les parties à la convention ont convenu d'une modification de celle-ci concernant le régime de responsabilité prévu à l'art. 6 al. 1. En effet, aucun élément du dossier ne permet de retenir que les intimés auraient accepté d'engager leur responsabilité également pour les consultations effectuées hors de leurs locaux par feu Dr C______ et sur la base d'un contrat de mandat de soins conclu exclusivement avec lui, comme ce qui a été le cas avec H______. La propre assurance responsabilité civile des intimés ne couvrent d'ailleurs que les personnes déployant une activité au sein de ceux-ci. Contrairement à ce que soutient l'appelante, la correspondance des intimés des 22 juin et 17 juillet 2000 ne permet pas de retentir que ces derniers auraient étendu leur responsabilité en ce sens. Le témoin M______ a d'ailleurs expliqué que le courrier du 22 juin 2000 indiquait le contraire, soit que les patients reçus en consultation au E______ étaient sous la responsabilité de feu Dr C______ et ce, tant qu'ils n'étaient pas enregistrés dans le logiciel DPA des intimés. Or, H______ n'a été enregistré dans ce logiciel qu'en date du 10 janvier 2001, soit le jour de sa première opération. Le fait que feu Dr C______ ait transmis les doléances de H______ aux intimés, par courrier du 10 décembre 2002, ne permet pas non plus de retenir qu'ils auraient convenu d'un élargissement de la responsabilité de ces derniers aux consultations effectuées au E______. Au contraire, dans leur courrier du 17 décembre 2002, les intimés ont expressément répondu à feu Dr C______ que leur responsabilité n'était engagée que pour les actes médicaux exécutés dans leurs locaux, ce que ce dernier n'a pas contesté à réception dudit courrier, ni même ultérieurement. Par ailleurs, feu Dr C______ a lui-même facturé et encaissé les montants dus pour la consultation de H______ du 29 juin 2000 au E______ et ce, contrairement à ce que les parties à la convention avaient prévu à l'art. 9 al. 1. Cela renforce encore la thèse des intimés, selon laquelle les parties à la convention avaient convenu que les consultations effectuées au E______ ne tombaient pas sous le régime de responsabilité de l'art. 6 al. 1. Le fait que feu Dr C______ aurait, selon l'appelante, procédé lui-même à cette facturation afin de réduire " le risque de ducroire " qu'il supportait en vertu de l'art. 9 al. 4 de la convention n'est pas déterminant et ne saurait modifier ce qui précède. Compte tenu de l'ensemble des circonstances, le premier juge était fondé à retenir que les parties à la convention avaient la réelle et commune intention d'engager la responsabilité des intimés que pour les actes effectués dans leurs locaux. En effet, il n'est pas établi par l'appelante, et peu convaincant, que les intimés auraient accepté d'engager leur responsabilité pour les faits intervenus lors de la consultation du 29 juin 2000 effectuée hors de leurs locaux, sur la base d'un contrat de mandat conclu exclusivement entre le patient et feu Dr C______, qui plus est facturée par ce dernier et pour lesquels ils n'ont reçu aucune rémunération. Il se justifie ainsi de retenir que la consultation du 29 juin 2000 n'est pas soumise au régime de responsabilité de la convention au sens de l'art. 6 al. 1. 3.2.3 Par jugement définitif du 27 juin 2012, le Tribunal d'arrondissement de la K______ a considéré que seul feu Dr C______ était responsable des dommages causés à H______ sur la base du contrat de mandat de soins conclu entre eux. En effet, lors de la consultation du 29 juin 2000, feu Dr C______ avait violé son devoir de diligence en conseillant une intervention inadaptée, ainsi que son devoir d'information dans la mesure où les renseignements donnés à H______ étaient lacunaires. Il ressort également de l'expertise extrajudiciaire du 19 décembre 2008 que feu Dr C______ n'a pas effectué les examens préliminaires correctement lors de la consultation susvisée. Le Tribunal d'arrondissements de la K______ a ainsi considéré que le lien de causalité était donné entre le dommage subi par H______ et l'erreur de diagnostic de feu Dr C______, étant précisé que les opérations des 10 et 31 janvier 2001 avaient été exécutées dans les règles de l'art. H______ a d'ailleurs motivé son action en justice à l'encontre de la veuve du précité sur la base d'une erreur de diagnostic et non pas de traitement, considérant celui-ci comme seul responsable à l'exclusion des intimés. Contrairement à ce que soutient l'appelante, l'illicéité de l'atteinte à l'intégrité corporelle de H______ repose bien sur l'erreur de diagnostic intervenue lors de la consultation du 29 juin 2000 et non sur les interventions en tant que telles, ce qui a été définitivement tranché dans le jugement du 27 juin 2012. Or, comme retenu supra , cette consultation n'est pas couverte par le régime de responsabilité prévu par la convention, mais par l'assurance responsabilité civile de feu Dr C______, soit l'appelante. Dans ces circonstances particulières, le premier juge a considéré qu'il se justifiait d'effectuer une distinction entre l'activité de consultation et les opérations en elles-mêmes, ce qui n'est pas critiquable. En effet, il s'agit de deux sources distinctes d'illicéité dans le domaine médical, qui nécessitent chacune sa propre expertise et peuvent d'ailleurs être exécutées par différents intervenants engageant ainsi leur propre responsabilité pour l'activité déployée par eux-mêmes. Compte tenu de ce qui précède, le seul fait que les interventions de H______ des 10 et 31 janvier 2001 se soient déroulées dans les locaux des intimés n'est pas déterminant et ne permet pas de retenir la responsabilité de ces derniers. Par ailleurs, il n'est pas établi que feu Dr C______ aurait effectué des examens le jour des opérations, afin de confirmer la nécessité de celles-ci, ou encore qu'il aurait dû le faire, ce que l'appelante soutient de toute façon pour la première fois en appel, et partant de manière irrecevable. Les intimés ne sont donc pas tenus de rembourser à l'appelante les frais afférents à l'indemnisation de H______. Partant, le jugement entrepris sera confirmé.</w:t>
      </w:r>
    </w:p>
    <w:p>
      <w:r>
        <w:rPr>
          <w:b/>
        </w:rPr>
        <w:t>E. 4</w:t>
      </w:r>
    </w:p>
    <w:p>
      <w:r>
        <w:t>Les frais judiciaires d'appel seront arrêtés à 20'000 fr. (art. 5, 17 et 35 RTFMC), la cause n'étant pas extrêmement complexe et la procédure n'étant pas d'une très grande ampleur. Ils seront mis à la charge de l'appelante, qui succombe (art. 106 al. 1 CPC) et compensés avec l'avance de 45'000 fr. versée par celle-ci, qui reste acquise à l'Etat de Genève à due concurrence (art. 111 al. 1 CPC). Le montant de 25'000 fr. sera ainsi remboursé à l'appelante. L'appelante sera, en outre, condamnée à verser 15'000 fr. aux intimés à titre de dépens d'appel (art. 105 al. 2, 111 al. 2 CPC; art. 84, 85 al. 1 et 90 RTFMC; art. 23 al. 1 LaCC), débours et TVA compris (art. 25 et 26 LaCC), étant relevé que la duplique des intimés est sommaire et ne comporte que quatre pages. * * * * * PAR CES MOTIFS, La Chambre civile : A la forme : Déclare recevable l'appel interjeté le 3 octobre 2022 par A______ contre le jugement JTPI/9993/2022 rendu le 30 août 2022 par le Tribunal de première instance dans la cause C/1100/2021. Au fond : Confirme le jugement entrepris. Déboute les parties de toutes autres conclusions. Sur les frais : Arrête les frais judiciaires d'appel à 20'000 fr., les met à la charge de A______ et les compense avec l'avance effectuée par celle-ci, qui reste acquise à l'Etat de Genève. Invite les Services financiers du Pouvoir judiciaire à verser 25'000 fr. à A______ à titre de remboursement de l'avance de frais. Condamne A______ à verser 15'000 fr. aux B______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