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C/11007/2020 vom 8. Juni 2023</w:t>
      </w:r>
    </w:p>
    <w:p>
      <w:r>
        <w:t>GE Cour de justice, 2023-06-08, FR</w:t>
      </w:r>
    </w:p>
    <w:p>
      <w:r>
        <w:rPr>
          <w:b/>
        </w:rPr>
        <w:t xml:space="preserve">Quelle: </w:t>
      </w:r>
      <w:r>
        <w:t>https://mcp.opencaselaw.ch/entscheid/ge_gerichte_C_11007_2020</w:t>
      </w:r>
    </w:p>
    <w:p>
      <w:r>
        <w:t>FR: GE_GERICHTE C/11007/2020 du 8 juin 2023</w:t>
      </w:r>
    </w:p>
    <w:p>
      <w:r>
        <w:t>IT: GE_GERICHTE C/11007/2020 del 8 giugno 2023</w:t>
      </w:r>
    </w:p>
    <w:p>
      <w:pPr>
        <w:pStyle w:val="Heading2"/>
      </w:pPr>
      <w:r>
        <w:t>Erwägungen</w:t>
      </w:r>
    </w:p>
    <w:p>
      <w:r>
        <w:rPr>
          <w:b/>
        </w:rPr>
        <w:t>E. 3</w:t>
      </w:r>
    </w:p>
    <w:p>
      <w:r>
        <w:t>L'intimée réclame le paiement de 1'028'396 fr. 40 avec intérêts à 5% dès le 1 er octobre 2020 (date moyenne) à titre de dommages-intérêts. Elle reproche au Tribunal d'avoir violé l'art. 321e al. 1 CO en retenant qu'elle n'avait pas suffisamment démontré son dommage. Elle rappelle que la pièce 65 a été établie par l'assistante de l'appelant, que les factures justificatives y relatives (pièce 65bis) sont toutes signées par ce dernier, lequel ne signait que les factures de ses propres clients, que les montants figurant sur la pièce 65 proviennent de la pièce 65bis, les quelques différences minimes résultant soit du change entre l'euro et le franc suisse, soit de frais bancaires apparents dans le tableau, mais non répercutés sur les factures, et que la moyenne des commissions calculées sur cinq ans correspond à 0,85% de la masse sous gestion de l'appelant (environ 40 millions de francs), soit la rémunération usuelle en matière de gestion de fortune. L'appelant remet en cause la fiabilité de la pièce 65 et considère que rien ne permet d'affirmer que les chiffres indiqués correspondent à des clients dont il s'occupait ou qui l'aurait suivi. Il conteste également tout lien de causalité entre la prétendue violation de ses obligations et le dommage allégué.</w:t>
      </w:r>
    </w:p>
    <w:p>
      <w:r>
        <w:rPr>
          <w:b/>
        </w:rPr>
        <w:t>E. 3.1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(arrêts du Tribunal fédéral 4A_402/2021 du 14 mars 2022 consid. 5.1; 4A_310/2007 du 4 décembre 2007 consid. 6.2). Ces conditions sont cumulatives. Il suffit que l'une d'elles fasse défaut pour que la demande doive être rejetée. L'employeur doit prouver la violation contractuelle, le dommage et le lien de causalité, tandis que le travailleur peut prouver qu'il n'a pas agi fautivement (ATF 144 III 327 consid. 4.2.1 et les références citées). Le dommage réside dans la diminution involontaire de la fortune nette; il correspond à la différence entre le montant actuel du patrimoine du lésé et le montant que ce même patrimoine aurait si l'événement dommageable ne s'était pas produit (ATF 147 III 463 consid. 4.2.1; 132 III 359 consid. 4; 129 III 331 consid. 2.1; 128 III 22 consid. 2e/aa; 127 III 73 consid. 4a; cf. en matière de responsabilité du travailleur ATF 123 III 257 consid. 5d). Il peut se présenter sous la forme d'une diminution de l'actif, d'une augmentation du passif, d'une non-augmentation de l'actif ou d'une non-diminution du passif (ATF 133 III 462 consid. 4.4.2 et les arrêts cités; arrêt du Tribunal fédéral 4A_480/2021 du 9 novembre 2022 consid. 3.3). L'on peut se fonder sur le taux de marge bénéficiaire pour calculer le manque à gagner subi (cf. notamment arrêt du Tribunal fédéral 4A_185/2007 du 20 septembre 2007; cf. également JAR 1996 p. 284). Il appartient à l'employeur de prouver l'existence du dommage et son ampleur, ainsi que la violation, par le travailleur, de ses obligations contractuelles et le rapport de causalité entre cette violation et le dommage (ATF 97 II 145 consid. 5b; arrêt du Tribunal fédéral 4C_323/1995 du 13 janvier 1997 consid. 4e).</w:t>
      </w:r>
    </w:p>
    <w:p>
      <w:r>
        <w:rPr>
          <w:b/>
        </w:rPr>
        <w:t>E. 3.2</w:t>
      </w:r>
    </w:p>
    <w:p>
      <w:r>
        <w:t>Selon l'art. 42 al. 2 CO, lorsque le montant exact du dommage ne peut être établi, le juge le détermine équitablement en considération du cours ordinaire des choses et des mesures prises par la partie lésée.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L'allègement du fardeau de la preuve prévu par l'art. 42 al. 2 CO doit être appliqué de manière restrictive. Il n'entre en ligne de compte que si le préjudice est très difficile, voire impossible, à établir, si les preuves nécessaires font défaut ou si l'administration de celles-ci ne peut raisonnablement être exigée du lésé (arrêts du Tribunal fédéral 6B_1418/2019 du 5 février 2020 consid. 4.1 et les références citées; 4A_396/2015 du 9 février 2016 consid. 6.1).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6B_1418/2019 précité consid. 4.1 et les références citées; 4A_175/2018 du 19 novembre 2018 consid. 4.1.1; 4A_97/2017 du 4 octobre 2017 consid. 4.1.3).</w:t>
      </w:r>
    </w:p>
    <w:p>
      <w:r>
        <w:rPr>
          <w:b/>
        </w:rPr>
        <w:t>E. 3.3</w:t>
      </w:r>
    </w:p>
    <w:p>
      <w:r>
        <w:t>Selon l'art. 394 al. 1 CO, le mandat est un contrat par lequel le mandataire s'oblige, dans les termes de la convention, à gérer l'affaire dont il s'est chargé ou à rendre les services qu'il a promis. Le mandat peut être révoqué ou répudié en tout temps (art. 404 al. 1 CO).</w:t>
      </w:r>
    </w:p>
    <w:p>
      <w:r>
        <w:rPr>
          <w:b/>
        </w:rPr>
        <w:t>E. 3.4</w:t>
      </w:r>
    </w:p>
    <w:p>
      <w:r>
        <w:t>En l'espèce, conformément aux principes rappelés ci-avant, le dommage dont l'intimée peut demander la réparation est uniquement constitué de la perte de bénéfice net qu'elle aurait éprouvée. Il lui appartenait dès lors de démontrer son bénéfice net afin d'estimer ses gains prévisibles. Si le montant des commissions facturées aux clients les années précédant la résiliation des mandats a été prouvé, il s'agissait encore pour l'intimée d'apporter les pièces permettant de définir son bénéfice net, soit le produit de son activité après déduction de toutes les charges applicables. L'intimée n'a toutefois pas versé à la procédure les éléments propres à déterminer son bénéfice net. Elle n'a pas non plus fourni d'indication utile permettant d'évaluer, en pourcentage, la proportion du bénéfice net par rapport à la perte de chiffre d'affaires alléguée. Le dossier ne comporte ainsi pas suffisamment d'éléments pour établir le dommage ou pour l'évaluer, ne serait-ce qu'approximativement. Par ailleurs, l'intimée a comptabilisé les commissions de ses clients sur trois années, alors que le contrat de mandat est résiliable en tout temps par le mandant. Par conséquent, l'intimée a failli à son devoir d'apporter la preuve de son prétendu dommage. Ce constat scelle le sort de l'appel joint, de sorte qu'il n'est pas nécessaire d'examiner les autres conditions de l'art. 321 e CO.</w:t>
      </w:r>
    </w:p>
    <w:p>
      <w:r>
        <w:rPr>
          <w:b/>
        </w:rPr>
        <w:t>E. 3.5</w:t>
      </w:r>
    </w:p>
    <w:p>
      <w:r>
        <w:t>Le chiffre 4 du dispositif du jugement entrepris sera dès lors confirmé.</w:t>
      </w:r>
    </w:p>
    <w:p>
      <w:r>
        <w:rPr>
          <w:b/>
        </w:rPr>
        <w:t>E. 4</w:t>
      </w:r>
    </w:p>
    <w:p>
      <w:r>
        <w:t>L'intimée remet en cause la répartition des frais judiciaires de première instance opérée par le premier juge. Elle fait valoir que, l'appelant ayant été débouté de l'intégralité de ses conclusions et la procédure ayant été introduite à son initiative, une répartition équitable des frais sur la base de l'art. 107 al. 1 CPC aurait commandé qu'il assume la totalité de frais de justice en découlant. Certes elle avait elle-même formulé des conclusions en paiement, mais qu'à titre reconventionnel, et l'administration des preuves y relatives n'avait pas engendré de démarches particulières par les premiers juges au-delà de ce qui aurait de toute manière été nécessaire pour trancher les prétentions de l'appelant.</w:t>
      </w:r>
    </w:p>
    <w:p>
      <w:r>
        <w:rPr>
          <w:b/>
        </w:rPr>
        <w:t>E. 4.1</w:t>
      </w:r>
    </w:p>
    <w:p>
      <w:r>
        <w:t>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4A_226/2013 du 7 octobre 2013 consid. 6.2, publié in RSPC 2014 p. 19). Le poids accordé aux conclusions tranchées, peut, de cas en cas, être apprécié selon différents critères, par exemple selon leur importance respective dans le litige (arrêt du Tribunal fédéral 5A_5/2019 du 4 juin 2019 consid. 3.3.1 et les autres références). Au vu de la diversité des critères, il n'y a pas qu'une seule solution qui soit conforme au droit fédéral (arrêt du Tribunal fédéral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(arrêt du Tribunal fédéral 4A_207/2015 du 2 septembre 2015 consid. 3.1). Le juge peut donc pondérer ce que chaque partie obtient en tenant compte du fait que certaines prétentions sont plus importantes que d'autres dans le procès (Tappy, op. cit., n. 34 ad art. 106 CPC). Le principe selon lequel les frais doivent être répartis selon l'issue du procès repose sur l'idée que les frais doivent être supportés par celui qui les a occasionnés, étant présumé que tel est le cas de la partie qui succombe (ATF 145 III 153 consid. 3.3.1; 119 Ia 1 consid. 6b). C'est selon l'ensemble des circonstances du cas concret que l'on doit décider si une partie obtient gain de cause en tout ou partie et, en cas de gain partiel, comment les frais doivent être répartis (arrêt du Tribunal fédéral 5A_197/2017 du 21 juillet 2017 consid. 1.3.2). Le tribunal peut s'écarter des règles érigées à l'art. 106 CPC et répartir les frais selon sa libre appréciation, en statuant selon les règles du droit et de l'équité (art. 4 CC), dans les hypothèses prévues par l'art. 107 CPC (ATF 139 III 33 consid. 4.2; arrêt du Tribunal fédéral 5A_5/2019 précité et les autres références).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arrêts du Tribunal fédéral 5A_816/2013 du 12 février 2014 consid. 4.1; 4A_226/2013 du 7 octobre 2013 consid. 6.2). Vu le caractère de " Kann -Vorschrift " de l'art. 107 CPC, la justification de la dérogation est qu'une répartition en fonction du sort de la cause serait inéquitable (Tappy, op. cit., n. 8 ad art. 107 CPC).</w:t>
      </w:r>
    </w:p>
    <w:p>
      <w:r>
        <w:rPr>
          <w:b/>
        </w:rPr>
        <w:t>E. 4.2</w:t>
      </w:r>
    </w:p>
    <w:p>
      <w:r>
        <w:t>In casu, tant l'appelant que l'intimée ont été déboutés, en premier instance, de l'ensemble de leurs conclusions principales et reconventionnelles, déboutements confirmés dans la présente décision. Conformément aux principes rappelés ci-avant, il y a lieu de prendre en considération, pour répartir les frais judiciaires, des conclusions de toutes les parties. La valeur litigieuse de la demande principale s'élevait à 187'614 fr. 05 et celle de la demande reconventionnelle à 1'028'396 fr. 40, soit une valeur litigieuse totale de 1'216'010 fr. 05. Les conclusions de l'appelant représentaient ainsi 15,42% de la valeur globale et celles de l'intimée de 84,58%. Les premiers juges ont arrêté le montant des frais judiciaires – non contesté – à 11'880 fr. Dans la mesure où chaque partie a succombé dans ses conclusions, c'est à bon droit que le Tribunal a réparti les frais en tenant compte de la valeur litigieuse des conclusions de chacune d'elles et a mis à la charge de l'appelant à raison de 1'880 fr. et à charge de l'intimée à hauteur de 10'000 fr. La décision est par conséquent exempte de toute critique, de sorte que l'intimée sera déboutée de ses conclusions sur ce point.</w:t>
      </w:r>
    </w:p>
    <w:p>
      <w:r>
        <w:rPr>
          <w:b/>
        </w:rPr>
        <w:t>E. 5</w:t>
      </w:r>
    </w:p>
    <w:p>
      <w:r>
        <w:t>Au vu de ce qui précède, le jugement entrepris sera entièrement confirmé.</w:t>
      </w:r>
    </w:p>
    <w:p>
      <w:r>
        <w:rPr>
          <w:b/>
        </w:rPr>
        <w:t>E. 6</w:t>
      </w:r>
    </w:p>
    <w:p>
      <w:r>
        <w:t>Au regard de la valeur litigieuse supérieure à 50'000 fr., il y a lieu de percevoir des frais judiciaires pour la procédure d'appel (art. 114 let. c cum 116 al. 1 CPC; art. 19 al. 3 let. c LaCC; art. 71 RTFMC). Les frais judiciaires de seconde instance seront arrêtés à 1'890 fr. pour l'appel principal et à 10'000 fr. pour l'appel joint (art. 71 TRFMC), compensés avec les avances de frais fournies à hauteur de 1'890 fr. par l'appelant et de 10'000 fr. fournie par l'intimée, qui restent acquises à l'Etat de Genève (art. 111 al. 1 CPC). Compte tenu de l'issue du litige, ils seront répartis, comme retenu ci-dessus, en tenant compte de la valeur litigieuse de leurs prétentions et, par conséquent, mis à raison de 1'890 fr. à la charge de l'appelant et à raison de 10'000 fr. à la charge de l'intimée (art. 95 et 106 al. 1 CPC). Il n'est pas alloué de dépens dans les causes soumises à la juridiction des prud’hommes (art. 22 al. 2 LaCC). * * * * * PAR CES MOTIFS, La Chambre des prud'hommes, groupe 4 : A la forme : Déclare recevable l'appel interjeté le 4 juillet 2022 par A______ contre le jugement JTPH/170/2022 rendu le 2 juin 2022 par le Tribunal des prud'hommes dans la cause C/11007/2020-4. Déclare recevable l'appel joint interjeté le 13 septembre 2022 par B______ SA contre les chiffres 4, 7 et 8 du dispositif dudit jugement. Au fond : Confirme le jugement entrepris. Déboute les parties de toutes autres conclusions. Sur les frais : Arrête les frais judiciaires de l'appel principal à 1'890 fr., les met à la charge de A______ et dit qu'ils sont entièrement compensés avec l'avance de frais effectuée, laquelle demeure acquise à l'Etat de Genève. Arrête les frais judiciaires de l'appel joint à 10'000 fr., les met à la charge de B______ SA et dit qu'ils sont entièrement compensés avec l'avance de frais effectuée, laquelle demeure acquise à l'Etat de Genève. Dit qu'il n'est pas alloué de dépens. Siégeant : Madame Nathalie LANDRY-BARTHE, présidente; Madame Nadia FAVRE, juge employeur; Madame Ana ROUX, juge salarié; Monsieur Javier BARBEITO, greffier.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